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fill="0F172A"/>
            <w:tcMar>
              <w:top w:w="260" w:type="dxa"/>
              <w:start w:w="280" w:type="dxa"/>
              <w:bottom w:w="260" w:type="dxa"/>
              <w:end w:w="280" w:type="dxa"/>
            </w:tcMar>
          </w:tcPr>
          <w:p>
            <w:pPr>
              <w:jc w:val="center"/>
            </w:pPr>
            <w:r>
              <w:rPr>
                <w:b/>
                <w:color w:val="FFFFFF"/>
                <w:sz w:val="32"/>
              </w:rPr>
              <w:t>EB BUSINESS SOLUTIONS LIMITED</w:t>
            </w:r>
          </w:p>
        </w:tc>
      </w:tr>
    </w:tbl>
    <w:p/>
    <w:p>
      <w:pPr>
        <w:spacing w:before="1040" w:after="240"/>
        <w:jc w:val="center"/>
      </w:pPr>
      <w:r>
        <w:rPr>
          <w:rFonts w:ascii="Aptos Display" w:hAnsi="Aptos Display"/>
          <w:b/>
          <w:color w:val="0F172A"/>
          <w:sz w:val="60"/>
        </w:rPr>
        <w:t>Test 15 Follow-Up</w:t>
      </w:r>
    </w:p>
    <w:p>
      <w:pPr>
        <w:spacing w:after="600"/>
        <w:jc w:val="center"/>
      </w:pPr>
      <w:r>
        <w:rPr>
          <w:color w:val="059669"/>
          <w:sz w:val="30"/>
        </w:rPr>
        <w:t>Mapping, FIFO Allocation, Performance and Responsive Layout Update</w:t>
      </w:r>
    </w:p>
    <w:tbl>
      <w:tblPr>
        <w:tblStyle w:val="TableGrid"/>
        <w:tblW w:type="auto" w:w="0"/>
        <w:jc w:val="center"/>
        <w:tblLook w:firstColumn="1" w:firstRow="1" w:lastColumn="0" w:lastRow="0" w:noHBand="0" w:noVBand="1" w:val="04A0"/>
      </w:tblPr>
      <w:tblGrid>
        <w:gridCol w:w="4819"/>
        <w:gridCol w:w="4819"/>
      </w:tblGrid>
      <w:tr>
        <w:tc>
          <w:tcPr>
            <w:tcW w:type="dxa" w:w="4819"/>
            <w:shd w:fill="F8FAFC"/>
            <w:tcMar>
              <w:top w:w="160" w:type="dxa"/>
              <w:start w:w="180" w:type="dxa"/>
              <w:bottom w:w="160" w:type="dxa"/>
              <w:end w:w="180" w:type="dxa"/>
            </w:tcMar>
          </w:tcPr>
          <w:p>
            <w:r>
              <w:rPr>
                <w:b/>
              </w:rPr>
              <w:t>Product</w:t>
            </w:r>
          </w:p>
        </w:tc>
        <w:tc>
          <w:tcPr>
            <w:tcW w:type="dxa" w:w="4819"/>
            <w:tcMar>
              <w:top w:w="160" w:type="dxa"/>
              <w:start w:w="180" w:type="dxa"/>
              <w:bottom w:w="160" w:type="dxa"/>
              <w:end w:w="180" w:type="dxa"/>
            </w:tcMar>
          </w:tcPr>
          <w:p>
            <w:r>
              <w:t>Receivables Reconciliation Platform</w:t>
            </w:r>
          </w:p>
        </w:tc>
      </w:tr>
      <w:tr>
        <w:tc>
          <w:tcPr>
            <w:tcW w:type="dxa" w:w="4819"/>
            <w:shd w:fill="F8FAFC"/>
            <w:tcMar>
              <w:top w:w="160" w:type="dxa"/>
              <w:start w:w="180" w:type="dxa"/>
              <w:bottom w:w="160" w:type="dxa"/>
              <w:end w:w="180" w:type="dxa"/>
            </w:tcMar>
          </w:tcPr>
          <w:p>
            <w:r>
              <w:rPr>
                <w:b/>
              </w:rPr>
              <w:t>Document status</w:t>
            </w:r>
          </w:p>
        </w:tc>
        <w:tc>
          <w:tcPr>
            <w:tcW w:type="dxa" w:w="4819"/>
            <w:tcMar>
              <w:top w:w="160" w:type="dxa"/>
              <w:start w:w="180" w:type="dxa"/>
              <w:bottom w:w="160" w:type="dxa"/>
              <w:end w:w="180" w:type="dxa"/>
            </w:tcMar>
          </w:tcPr>
          <w:p>
            <w:r>
              <w:t>Implementation completed and verified</w:t>
            </w:r>
          </w:p>
        </w:tc>
      </w:tr>
      <w:tr>
        <w:tc>
          <w:tcPr>
            <w:tcW w:type="dxa" w:w="4819"/>
            <w:shd w:fill="F8FAFC"/>
            <w:tcMar>
              <w:top w:w="160" w:type="dxa"/>
              <w:start w:w="180" w:type="dxa"/>
              <w:bottom w:w="160" w:type="dxa"/>
              <w:end w:w="180" w:type="dxa"/>
            </w:tcMar>
          </w:tcPr>
          <w:p>
            <w:r>
              <w:rPr>
                <w:b/>
              </w:rPr>
              <w:t>Prepared for</w:t>
            </w:r>
          </w:p>
        </w:tc>
        <w:tc>
          <w:tcPr>
            <w:tcW w:type="dxa" w:w="4819"/>
            <w:tcMar>
              <w:top w:w="160" w:type="dxa"/>
              <w:start w:w="180" w:type="dxa"/>
              <w:bottom w:w="160" w:type="dxa"/>
              <w:end w:w="180" w:type="dxa"/>
            </w:tcMar>
          </w:tcPr>
          <w:p>
            <w:r>
              <w:t>Client review and retesting</w:t>
            </w:r>
          </w:p>
        </w:tc>
      </w:tr>
      <w:tr>
        <w:tc>
          <w:tcPr>
            <w:tcW w:type="dxa" w:w="4819"/>
            <w:shd w:fill="F8FAFC"/>
            <w:tcMar>
              <w:top w:w="160" w:type="dxa"/>
              <w:start w:w="180" w:type="dxa"/>
              <w:bottom w:w="160" w:type="dxa"/>
              <w:end w:w="180" w:type="dxa"/>
            </w:tcMar>
          </w:tcPr>
          <w:p>
            <w:r>
              <w:rPr>
                <w:b/>
              </w:rPr>
              <w:t>Date</w:t>
            </w:r>
          </w:p>
        </w:tc>
        <w:tc>
          <w:tcPr>
            <w:tcW w:type="dxa" w:w="4819"/>
            <w:tcMar>
              <w:top w:w="160" w:type="dxa"/>
              <w:start w:w="180" w:type="dxa"/>
              <w:bottom w:w="160" w:type="dxa"/>
              <w:end w:w="180" w:type="dxa"/>
            </w:tcMar>
          </w:tcPr>
          <w:p>
            <w:r>
              <w:t>7 October 2026</w:t>
            </w:r>
          </w:p>
        </w:tc>
      </w:tr>
    </w:tbl>
    <w:p/>
    <w:tbl>
      <w:tblPr>
        <w:tblW w:type="auto" w:w="0"/>
        <w:jc w:val="center"/>
        <w:tblLayout w:type="autofit"/>
        <w:tblLook w:firstColumn="1" w:firstRow="1" w:lastColumn="0" w:lastRow="0" w:noHBand="0" w:noVBand="1" w:val="04A0"/>
      </w:tblPr>
      <w:tblGrid>
        <w:gridCol w:w="9638"/>
      </w:tblGrid>
      <w:tr>
        <w:tc>
          <w:tcPr>
            <w:tcW w:type="dxa" w:w="9638"/>
            <w:shd w:fill="ECFDF5"/>
            <w:tcMar>
              <w:top w:w="180" w:type="dxa"/>
              <w:start w:w="220" w:type="dxa"/>
              <w:bottom w:w="180" w:type="dxa"/>
              <w:end w:w="220" w:type="dxa"/>
            </w:tcMar>
          </w:tcPr>
          <w:p>
            <w:pPr>
              <w:spacing w:after="100"/>
            </w:pPr>
            <w:r>
              <w:rPr>
                <w:b/>
                <w:color w:val="059669"/>
              </w:rPr>
              <w:t>Purpose of this document</w:t>
            </w:r>
          </w:p>
          <w:p>
            <w:pPr>
              <w:spacing w:after="0"/>
            </w:pPr>
            <w:r>
              <w:t>This report consolidates the Test 14 and Test 15 findings, the resulting product changes, the financial safeguards retained, and the recommended checks for the next client test cycle.</w:t>
            </w:r>
          </w:p>
        </w:tc>
      </w:tr>
    </w:tbl>
    <w:p>
      <w:pPr>
        <w:spacing w:before="880"/>
        <w:jc w:val="center"/>
      </w:pPr>
      <w:r>
        <w:rPr>
          <w:i/>
          <w:color w:val="64748B"/>
          <w:sz w:val="17"/>
        </w:rPr>
        <w:t>Client-facing document • No credentials or internal deployment secrets included</w:t>
      </w:r>
    </w:p>
    <w:p>
      <w:r>
        <w:br w:type="page"/>
      </w:r>
    </w:p>
    <w:p>
      <w:pPr>
        <w:pStyle w:val="Heading1"/>
      </w:pPr>
      <w:r>
        <w:t>Contents</w:t>
      </w:r>
    </w:p>
    <w:p>
      <w:pPr>
        <w:spacing w:after="120"/>
        <w:ind w:left="227"/>
      </w:pPr>
      <w:r>
        <w:t>1. Executive summary</w:t>
      </w:r>
    </w:p>
    <w:p>
      <w:pPr>
        <w:spacing w:after="120"/>
        <w:ind w:left="227"/>
      </w:pPr>
      <w:r>
        <w:t>2. Test 14 and Test 15 workbook analysis</w:t>
      </w:r>
    </w:p>
    <w:p>
      <w:pPr>
        <w:spacing w:after="120"/>
        <w:ind w:left="227"/>
      </w:pPr>
      <w:r>
        <w:t>3. Mapping and FIFO allocation enhancements</w:t>
      </w:r>
    </w:p>
    <w:p>
      <w:pPr>
        <w:spacing w:after="120"/>
        <w:ind w:left="227"/>
      </w:pPr>
      <w:r>
        <w:t>4. Reference variation matching</w:t>
      </w:r>
    </w:p>
    <w:p>
      <w:pPr>
        <w:spacing w:after="120"/>
        <w:ind w:left="227"/>
      </w:pPr>
      <w:r>
        <w:t>5. Financial safeguards and expected outcomes</w:t>
      </w:r>
    </w:p>
    <w:p>
      <w:pPr>
        <w:spacing w:after="120"/>
        <w:ind w:left="227"/>
      </w:pPr>
      <w:r>
        <w:t>6. Performance improvements</w:t>
      </w:r>
    </w:p>
    <w:p>
      <w:pPr>
        <w:spacing w:after="120"/>
        <w:ind w:left="227"/>
      </w:pPr>
      <w:r>
        <w:t>7. Laptop and smaller-screen layout</w:t>
      </w:r>
    </w:p>
    <w:p>
      <w:pPr>
        <w:spacing w:after="120"/>
        <w:ind w:left="227"/>
      </w:pPr>
      <w:r>
        <w:t>8. Verification and next test checklist</w:t>
      </w:r>
    </w:p>
    <w:p>
      <w:r>
        <w:br w:type="page"/>
      </w:r>
    </w:p>
    <w:p>
      <w:pPr>
        <w:pStyle w:val="Heading1"/>
        <w:keepNext/>
      </w:pPr>
      <w:r>
        <w:t>1. Executive summary</w:t>
      </w:r>
    </w:p>
    <w:tbl>
      <w:tblPr>
        <w:tblW w:type="auto" w:w="0"/>
        <w:jc w:val="center"/>
        <w:tblLayout w:type="autofit"/>
        <w:tblLook w:firstColumn="1" w:firstRow="1" w:lastColumn="0" w:lastRow="0" w:noHBand="0" w:noVBand="1" w:val="04A0"/>
      </w:tblPr>
      <w:tblGrid>
        <w:gridCol w:w="9638"/>
      </w:tblGrid>
      <w:tr>
        <w:tc>
          <w:tcPr>
            <w:tcW w:type="dxa" w:w="9638"/>
            <w:shd w:fill="ECFDF5"/>
            <w:tcMar>
              <w:top w:w="180" w:type="dxa"/>
              <w:start w:w="220" w:type="dxa"/>
              <w:bottom w:w="180" w:type="dxa"/>
              <w:end w:w="220" w:type="dxa"/>
            </w:tcMar>
          </w:tcPr>
          <w:p>
            <w:pPr>
              <w:spacing w:after="100"/>
            </w:pPr>
            <w:r>
              <w:rPr>
                <w:b/>
                <w:color w:val="059669"/>
              </w:rPr>
              <w:t>Outcome</w:t>
            </w:r>
          </w:p>
          <w:p>
            <w:pPr>
              <w:spacing w:after="0"/>
            </w:pPr>
            <w:r>
              <w:t>All points raised during the initial Test 15 review have been implemented. The update adds an explicit trusted-mapping auto-allocation option, corrects phrase recognition inside variable bank narratives, removes avoidable processing work, and improves laptop accessibility.</w:t>
            </w:r>
          </w:p>
        </w:tc>
      </w:tr>
    </w:tbl>
    <w:p/>
    <w:p>
      <w:pPr>
        <w:pStyle w:val="ListBullet"/>
        <w:spacing w:after="80"/>
      </w:pPr>
      <w:r>
        <w:t>A third mapping permission—FIFO auto-allocation permitted—has been introduced as an explicit opt-in.</w:t>
      </w:r>
    </w:p>
    <w:p>
      <w:pPr>
        <w:pStyle w:val="ListBullet"/>
        <w:spacing w:after="80"/>
      </w:pPr>
      <w:r>
        <w:t>Reference variations now match a stable phrase inside a longer narrative containing changing EREF, UETR or similar transaction data.</w:t>
      </w:r>
    </w:p>
    <w:p>
      <w:pPr>
        <w:pStyle w:val="ListBullet"/>
        <w:spacing w:after="80"/>
      </w:pPr>
      <w:r>
        <w:t>Test 14 and Test 15 were compared directly and confirmed to have identical allocation outcomes.</w:t>
      </w:r>
    </w:p>
    <w:p>
      <w:pPr>
        <w:pStyle w:val="ListBullet"/>
        <w:spacing w:after="80"/>
      </w:pPr>
      <w:r>
        <w:t>Mapping preparation, invoice lookup and application-shell notification loading have been optimized.</w:t>
      </w:r>
    </w:p>
    <w:p>
      <w:pPr>
        <w:pStyle w:val="ListBullet"/>
        <w:spacing w:after="80"/>
      </w:pPr>
      <w:r>
        <w:t>The desktop shell now adapts to common laptop widths and shorter viewport heights.</w:t>
      </w:r>
    </w:p>
    <w:p>
      <w:pPr>
        <w:pStyle w:val="ListBullet"/>
        <w:spacing w:after="80"/>
      </w:pPr>
      <w:r>
        <w:t>Automated regression coverage and the production frontend build pass.</w:t>
      </w:r>
    </w:p>
    <w:p>
      <w:pPr>
        <w:pStyle w:val="Heading2"/>
      </w:pPr>
      <w:r>
        <w:t>Important retest note</w:t>
      </w:r>
    </w:p>
    <w:p>
      <w:r>
        <w:t>The supplied Test 14 and Test 15 workbooks reflect behavior before these changes. A new allocation run is required to validate the updated mapping permissions and reference matching. Existing historical runs are intentionally not recalculated.</w:t>
      </w:r>
    </w:p>
    <w:p>
      <w:pPr>
        <w:pStyle w:val="Heading1"/>
        <w:keepNext/>
      </w:pPr>
      <w:r>
        <w:t>2. Test 14 and Test 15 workbook analysis</w:t>
      </w:r>
    </w:p>
    <w:p>
      <w:r>
        <w:t>Both client workbooks were inspected read-only. They contain 1,314 bank allocation rows and 28,143 invoice rows using the same export schema.</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835"/>
            <w:shd w:fill="0F172A"/>
            <w:vAlign w:val="center"/>
            <w:tcMar>
              <w:top w:w="120" w:type="dxa"/>
              <w:start w:w="140" w:type="dxa"/>
              <w:bottom w:w="120" w:type="dxa"/>
              <w:end w:w="140" w:type="dxa"/>
            </w:tcMar>
          </w:tcPr>
          <w:p>
            <w:pPr>
              <w:spacing w:after="0"/>
            </w:pPr>
            <w:r>
              <w:rPr>
                <w:b/>
                <w:color w:val="FFFFFF"/>
                <w:sz w:val="18"/>
              </w:rPr>
              <w:t>Measure</w:t>
            </w:r>
          </w:p>
        </w:tc>
        <w:tc>
          <w:tcPr>
            <w:tcW w:type="dxa" w:w="1871"/>
            <w:shd w:fill="0F172A"/>
            <w:vAlign w:val="center"/>
            <w:tcMar>
              <w:top w:w="120" w:type="dxa"/>
              <w:start w:w="140" w:type="dxa"/>
              <w:bottom w:w="120" w:type="dxa"/>
              <w:end w:w="140" w:type="dxa"/>
            </w:tcMar>
          </w:tcPr>
          <w:p>
            <w:pPr>
              <w:spacing w:after="0"/>
            </w:pPr>
            <w:r>
              <w:rPr>
                <w:b/>
                <w:color w:val="FFFFFF"/>
                <w:sz w:val="18"/>
              </w:rPr>
              <w:t>Test 14</w:t>
            </w:r>
          </w:p>
        </w:tc>
        <w:tc>
          <w:tcPr>
            <w:tcW w:type="dxa" w:w="1871"/>
            <w:shd w:fill="0F172A"/>
            <w:vAlign w:val="center"/>
            <w:tcMar>
              <w:top w:w="120" w:type="dxa"/>
              <w:start w:w="140" w:type="dxa"/>
              <w:bottom w:w="120" w:type="dxa"/>
              <w:end w:w="140" w:type="dxa"/>
            </w:tcMar>
          </w:tcPr>
          <w:p>
            <w:pPr>
              <w:spacing w:after="0"/>
            </w:pPr>
            <w:r>
              <w:rPr>
                <w:b/>
                <w:color w:val="FFFFFF"/>
                <w:sz w:val="18"/>
              </w:rPr>
              <w:t>Test 15</w:t>
            </w:r>
          </w:p>
        </w:tc>
        <w:tc>
          <w:tcPr>
            <w:tcW w:type="dxa" w:w="2268"/>
            <w:shd w:fill="0F172A"/>
            <w:vAlign w:val="center"/>
            <w:tcMar>
              <w:top w:w="120" w:type="dxa"/>
              <w:start w:w="140" w:type="dxa"/>
              <w:bottom w:w="120" w:type="dxa"/>
              <w:end w:w="140" w:type="dxa"/>
            </w:tcMar>
          </w:tcPr>
          <w:p>
            <w:pPr>
              <w:spacing w:after="0"/>
            </w:pPr>
            <w:r>
              <w:rPr>
                <w:b/>
                <w:color w:val="FFFFFF"/>
                <w:sz w:val="18"/>
              </w:rPr>
              <w:t>Assessment</w:t>
            </w:r>
          </w:p>
        </w:tc>
      </w:tr>
      <w:tr>
        <w:tc>
          <w:tcPr>
            <w:tcW w:type="dxa" w:w="2835"/>
            <w:tcMar>
              <w:top w:w="120" w:type="dxa"/>
              <w:start w:w="140" w:type="dxa"/>
              <w:bottom w:w="120" w:type="dxa"/>
              <w:end w:w="140" w:type="dxa"/>
            </w:tcMar>
            <w:vAlign w:val="center"/>
          </w:tcPr>
          <w:p>
            <w:pPr>
              <w:spacing w:after="0"/>
            </w:pPr>
            <w:r>
              <w:rPr>
                <w:sz w:val="18"/>
              </w:rPr>
              <w:t>Automatic / full matches</w:t>
            </w:r>
          </w:p>
        </w:tc>
        <w:tc>
          <w:tcPr>
            <w:tcW w:type="dxa" w:w="1871"/>
            <w:tcMar>
              <w:top w:w="120" w:type="dxa"/>
              <w:start w:w="140" w:type="dxa"/>
              <w:bottom w:w="120" w:type="dxa"/>
              <w:end w:w="140" w:type="dxa"/>
            </w:tcMar>
            <w:vAlign w:val="center"/>
          </w:tcPr>
          <w:p>
            <w:pPr>
              <w:spacing w:after="0"/>
            </w:pPr>
            <w:r>
              <w:rPr>
                <w:sz w:val="18"/>
              </w:rPr>
              <w:t>664</w:t>
            </w:r>
          </w:p>
        </w:tc>
        <w:tc>
          <w:tcPr>
            <w:tcW w:type="dxa" w:w="1871"/>
            <w:tcMar>
              <w:top w:w="120" w:type="dxa"/>
              <w:start w:w="140" w:type="dxa"/>
              <w:bottom w:w="120" w:type="dxa"/>
              <w:end w:w="140" w:type="dxa"/>
            </w:tcMar>
            <w:vAlign w:val="center"/>
          </w:tcPr>
          <w:p>
            <w:pPr>
              <w:spacing w:after="0"/>
            </w:pPr>
            <w:r>
              <w:rPr>
                <w:sz w:val="18"/>
              </w:rPr>
              <w:t>664</w:t>
            </w:r>
          </w:p>
        </w:tc>
        <w:tc>
          <w:tcPr>
            <w:tcW w:type="dxa" w:w="2268"/>
            <w:tcMar>
              <w:top w:w="120" w:type="dxa"/>
              <w:start w:w="140" w:type="dxa"/>
              <w:bottom w:w="120" w:type="dxa"/>
              <w:end w:w="140" w:type="dxa"/>
            </w:tcMar>
            <w:vAlign w:val="center"/>
          </w:tcPr>
          <w:p>
            <w:pPr>
              <w:spacing w:after="0"/>
            </w:pPr>
            <w:r>
              <w:rPr>
                <w:sz w:val="18"/>
              </w:rPr>
              <w:t>No change</w:t>
            </w:r>
          </w:p>
        </w:tc>
      </w:tr>
      <w:tr>
        <w:tc>
          <w:tcPr>
            <w:tcW w:type="dxa" w:w="2835"/>
            <w:shd w:fill="F8FAFC"/>
            <w:tcMar>
              <w:top w:w="120" w:type="dxa"/>
              <w:start w:w="140" w:type="dxa"/>
              <w:bottom w:w="120" w:type="dxa"/>
              <w:end w:w="140" w:type="dxa"/>
            </w:tcMar>
            <w:vAlign w:val="center"/>
          </w:tcPr>
          <w:p>
            <w:pPr>
              <w:spacing w:after="0"/>
            </w:pPr>
            <w:r>
              <w:rPr>
                <w:sz w:val="18"/>
              </w:rPr>
              <w:t>Suggestions</w:t>
            </w:r>
          </w:p>
        </w:tc>
        <w:tc>
          <w:tcPr>
            <w:tcW w:type="dxa" w:w="1871"/>
            <w:shd w:fill="F8FAFC"/>
            <w:tcMar>
              <w:top w:w="120" w:type="dxa"/>
              <w:start w:w="140" w:type="dxa"/>
              <w:bottom w:w="120" w:type="dxa"/>
              <w:end w:w="140" w:type="dxa"/>
            </w:tcMar>
            <w:vAlign w:val="center"/>
          </w:tcPr>
          <w:p>
            <w:pPr>
              <w:spacing w:after="0"/>
            </w:pPr>
            <w:r>
              <w:rPr>
                <w:sz w:val="18"/>
              </w:rPr>
              <w:t>417</w:t>
            </w:r>
          </w:p>
        </w:tc>
        <w:tc>
          <w:tcPr>
            <w:tcW w:type="dxa" w:w="1871"/>
            <w:shd w:fill="F8FAFC"/>
            <w:tcMar>
              <w:top w:w="120" w:type="dxa"/>
              <w:start w:w="140" w:type="dxa"/>
              <w:bottom w:w="120" w:type="dxa"/>
              <w:end w:w="140" w:type="dxa"/>
            </w:tcMar>
            <w:vAlign w:val="center"/>
          </w:tcPr>
          <w:p>
            <w:pPr>
              <w:spacing w:after="0"/>
            </w:pPr>
            <w:r>
              <w:rPr>
                <w:sz w:val="18"/>
              </w:rPr>
              <w:t>417</w:t>
            </w:r>
          </w:p>
        </w:tc>
        <w:tc>
          <w:tcPr>
            <w:tcW w:type="dxa" w:w="2268"/>
            <w:shd w:fill="F8FAFC"/>
            <w:tcMar>
              <w:top w:w="120" w:type="dxa"/>
              <w:start w:w="140" w:type="dxa"/>
              <w:bottom w:w="120" w:type="dxa"/>
              <w:end w:w="140" w:type="dxa"/>
            </w:tcMar>
            <w:vAlign w:val="center"/>
          </w:tcPr>
          <w:p>
            <w:pPr>
              <w:spacing w:after="0"/>
            </w:pPr>
            <w:r>
              <w:rPr>
                <w:sz w:val="18"/>
              </w:rPr>
              <w:t>No change</w:t>
            </w:r>
          </w:p>
        </w:tc>
      </w:tr>
      <w:tr>
        <w:tc>
          <w:tcPr>
            <w:tcW w:type="dxa" w:w="2835"/>
            <w:tcMar>
              <w:top w:w="120" w:type="dxa"/>
              <w:start w:w="140" w:type="dxa"/>
              <w:bottom w:w="120" w:type="dxa"/>
              <w:end w:w="140" w:type="dxa"/>
            </w:tcMar>
            <w:vAlign w:val="center"/>
          </w:tcPr>
          <w:p>
            <w:pPr>
              <w:spacing w:after="0"/>
            </w:pPr>
            <w:r>
              <w:rPr>
                <w:sz w:val="18"/>
              </w:rPr>
              <w:t>Unmatched payments</w:t>
            </w:r>
          </w:p>
        </w:tc>
        <w:tc>
          <w:tcPr>
            <w:tcW w:type="dxa" w:w="1871"/>
            <w:tcMar>
              <w:top w:w="120" w:type="dxa"/>
              <w:start w:w="140" w:type="dxa"/>
              <w:bottom w:w="120" w:type="dxa"/>
              <w:end w:w="140" w:type="dxa"/>
            </w:tcMar>
            <w:vAlign w:val="center"/>
          </w:tcPr>
          <w:p>
            <w:pPr>
              <w:spacing w:after="0"/>
            </w:pPr>
            <w:r>
              <w:rPr>
                <w:sz w:val="18"/>
              </w:rPr>
              <w:t>213</w:t>
            </w:r>
          </w:p>
        </w:tc>
        <w:tc>
          <w:tcPr>
            <w:tcW w:type="dxa" w:w="1871"/>
            <w:tcMar>
              <w:top w:w="120" w:type="dxa"/>
              <w:start w:w="140" w:type="dxa"/>
              <w:bottom w:w="120" w:type="dxa"/>
              <w:end w:w="140" w:type="dxa"/>
            </w:tcMar>
            <w:vAlign w:val="center"/>
          </w:tcPr>
          <w:p>
            <w:pPr>
              <w:spacing w:after="0"/>
            </w:pPr>
            <w:r>
              <w:rPr>
                <w:sz w:val="18"/>
              </w:rPr>
              <w:t>213</w:t>
            </w:r>
          </w:p>
        </w:tc>
        <w:tc>
          <w:tcPr>
            <w:tcW w:type="dxa" w:w="2268"/>
            <w:tcMar>
              <w:top w:w="120" w:type="dxa"/>
              <w:start w:w="140" w:type="dxa"/>
              <w:bottom w:w="120" w:type="dxa"/>
              <w:end w:w="140" w:type="dxa"/>
            </w:tcMar>
            <w:vAlign w:val="center"/>
          </w:tcPr>
          <w:p>
            <w:pPr>
              <w:spacing w:after="0"/>
            </w:pPr>
            <w:r>
              <w:rPr>
                <w:sz w:val="18"/>
              </w:rPr>
              <w:t>No change</w:t>
            </w:r>
          </w:p>
        </w:tc>
      </w:tr>
      <w:tr>
        <w:tc>
          <w:tcPr>
            <w:tcW w:type="dxa" w:w="2835"/>
            <w:shd w:fill="F8FAFC"/>
            <w:tcMar>
              <w:top w:w="120" w:type="dxa"/>
              <w:start w:w="140" w:type="dxa"/>
              <w:bottom w:w="120" w:type="dxa"/>
              <w:end w:w="140" w:type="dxa"/>
            </w:tcMar>
            <w:vAlign w:val="center"/>
          </w:tcPr>
          <w:p>
            <w:pPr>
              <w:spacing w:after="0"/>
            </w:pPr>
            <w:r>
              <w:rPr>
                <w:sz w:val="18"/>
              </w:rPr>
              <w:t>Overpaid payments</w:t>
            </w:r>
          </w:p>
        </w:tc>
        <w:tc>
          <w:tcPr>
            <w:tcW w:type="dxa" w:w="1871"/>
            <w:shd w:fill="F8FAFC"/>
            <w:tcMar>
              <w:top w:w="120" w:type="dxa"/>
              <w:start w:w="140" w:type="dxa"/>
              <w:bottom w:w="120" w:type="dxa"/>
              <w:end w:w="140" w:type="dxa"/>
            </w:tcMar>
            <w:vAlign w:val="center"/>
          </w:tcPr>
          <w:p>
            <w:pPr>
              <w:spacing w:after="0"/>
            </w:pPr>
            <w:r>
              <w:rPr>
                <w:sz w:val="18"/>
              </w:rPr>
              <w:t>20</w:t>
            </w:r>
          </w:p>
        </w:tc>
        <w:tc>
          <w:tcPr>
            <w:tcW w:type="dxa" w:w="1871"/>
            <w:shd w:fill="F8FAFC"/>
            <w:tcMar>
              <w:top w:w="120" w:type="dxa"/>
              <w:start w:w="140" w:type="dxa"/>
              <w:bottom w:w="120" w:type="dxa"/>
              <w:end w:w="140" w:type="dxa"/>
            </w:tcMar>
            <w:vAlign w:val="center"/>
          </w:tcPr>
          <w:p>
            <w:pPr>
              <w:spacing w:after="0"/>
            </w:pPr>
            <w:r>
              <w:rPr>
                <w:sz w:val="18"/>
              </w:rPr>
              <w:t>20</w:t>
            </w:r>
          </w:p>
        </w:tc>
        <w:tc>
          <w:tcPr>
            <w:tcW w:type="dxa" w:w="2268"/>
            <w:shd w:fill="F8FAFC"/>
            <w:tcMar>
              <w:top w:w="120" w:type="dxa"/>
              <w:start w:w="140" w:type="dxa"/>
              <w:bottom w:w="120" w:type="dxa"/>
              <w:end w:w="140" w:type="dxa"/>
            </w:tcMar>
            <w:vAlign w:val="center"/>
          </w:tcPr>
          <w:p>
            <w:pPr>
              <w:spacing w:after="0"/>
            </w:pPr>
            <w:r>
              <w:rPr>
                <w:sz w:val="18"/>
              </w:rPr>
              <w:t>No change</w:t>
            </w:r>
          </w:p>
        </w:tc>
      </w:tr>
      <w:tr>
        <w:tc>
          <w:tcPr>
            <w:tcW w:type="dxa" w:w="2835"/>
            <w:tcMar>
              <w:top w:w="120" w:type="dxa"/>
              <w:start w:w="140" w:type="dxa"/>
              <w:bottom w:w="120" w:type="dxa"/>
              <w:end w:w="140" w:type="dxa"/>
            </w:tcMar>
            <w:vAlign w:val="center"/>
          </w:tcPr>
          <w:p>
            <w:pPr>
              <w:spacing w:after="0"/>
            </w:pPr>
            <w:r>
              <w:rPr>
                <w:sz w:val="18"/>
              </w:rPr>
              <w:t>Total allocated</w:t>
            </w:r>
          </w:p>
        </w:tc>
        <w:tc>
          <w:tcPr>
            <w:tcW w:type="dxa" w:w="1871"/>
            <w:tcMar>
              <w:top w:w="120" w:type="dxa"/>
              <w:start w:w="140" w:type="dxa"/>
              <w:bottom w:w="120" w:type="dxa"/>
              <w:end w:w="140" w:type="dxa"/>
            </w:tcMar>
            <w:vAlign w:val="center"/>
          </w:tcPr>
          <w:p>
            <w:pPr>
              <w:spacing w:after="0"/>
            </w:pPr>
            <w:r>
              <w:rPr>
                <w:sz w:val="18"/>
              </w:rPr>
              <w:t>£5,542,210.11</w:t>
            </w:r>
          </w:p>
        </w:tc>
        <w:tc>
          <w:tcPr>
            <w:tcW w:type="dxa" w:w="1871"/>
            <w:tcMar>
              <w:top w:w="120" w:type="dxa"/>
              <w:start w:w="140" w:type="dxa"/>
              <w:bottom w:w="120" w:type="dxa"/>
              <w:end w:w="140" w:type="dxa"/>
            </w:tcMar>
            <w:vAlign w:val="center"/>
          </w:tcPr>
          <w:p>
            <w:pPr>
              <w:spacing w:after="0"/>
            </w:pPr>
            <w:r>
              <w:rPr>
                <w:sz w:val="18"/>
              </w:rPr>
              <w:t>£5,542,210.11</w:t>
            </w:r>
          </w:p>
        </w:tc>
        <w:tc>
          <w:tcPr>
            <w:tcW w:type="dxa" w:w="2268"/>
            <w:tcMar>
              <w:top w:w="120" w:type="dxa"/>
              <w:start w:w="140" w:type="dxa"/>
              <w:bottom w:w="120" w:type="dxa"/>
              <w:end w:w="140" w:type="dxa"/>
            </w:tcMar>
            <w:vAlign w:val="center"/>
          </w:tcPr>
          <w:p>
            <w:pPr>
              <w:spacing w:after="0"/>
            </w:pPr>
            <w:r>
              <w:rPr>
                <w:sz w:val="18"/>
              </w:rPr>
              <w:t>No change</w:t>
            </w:r>
          </w:p>
        </w:tc>
      </w:tr>
      <w:tr>
        <w:tc>
          <w:tcPr>
            <w:tcW w:type="dxa" w:w="2835"/>
            <w:shd w:fill="F8FAFC"/>
            <w:tcMar>
              <w:top w:w="120" w:type="dxa"/>
              <w:start w:w="140" w:type="dxa"/>
              <w:bottom w:w="120" w:type="dxa"/>
              <w:end w:w="140" w:type="dxa"/>
            </w:tcMar>
            <w:vAlign w:val="center"/>
          </w:tcPr>
          <w:p>
            <w:pPr>
              <w:spacing w:after="0"/>
            </w:pPr>
            <w:r>
              <w:rPr>
                <w:sz w:val="18"/>
              </w:rPr>
              <w:t>Total suggested</w:t>
            </w:r>
          </w:p>
        </w:tc>
        <w:tc>
          <w:tcPr>
            <w:tcW w:type="dxa" w:w="1871"/>
            <w:shd w:fill="F8FAFC"/>
            <w:tcMar>
              <w:top w:w="120" w:type="dxa"/>
              <w:start w:w="140" w:type="dxa"/>
              <w:bottom w:w="120" w:type="dxa"/>
              <w:end w:w="140" w:type="dxa"/>
            </w:tcMar>
            <w:vAlign w:val="center"/>
          </w:tcPr>
          <w:p>
            <w:pPr>
              <w:spacing w:after="0"/>
            </w:pPr>
            <w:r>
              <w:rPr>
                <w:sz w:val="18"/>
              </w:rPr>
              <w:t>£4,392,377.99</w:t>
            </w:r>
          </w:p>
        </w:tc>
        <w:tc>
          <w:tcPr>
            <w:tcW w:type="dxa" w:w="1871"/>
            <w:shd w:fill="F8FAFC"/>
            <w:tcMar>
              <w:top w:w="120" w:type="dxa"/>
              <w:start w:w="140" w:type="dxa"/>
              <w:bottom w:w="120" w:type="dxa"/>
              <w:end w:w="140" w:type="dxa"/>
            </w:tcMar>
            <w:vAlign w:val="center"/>
          </w:tcPr>
          <w:p>
            <w:pPr>
              <w:spacing w:after="0"/>
            </w:pPr>
            <w:r>
              <w:rPr>
                <w:sz w:val="18"/>
              </w:rPr>
              <w:t>£4,392,377.99</w:t>
            </w:r>
          </w:p>
        </w:tc>
        <w:tc>
          <w:tcPr>
            <w:tcW w:type="dxa" w:w="2268"/>
            <w:shd w:fill="F8FAFC"/>
            <w:tcMar>
              <w:top w:w="120" w:type="dxa"/>
              <w:start w:w="140" w:type="dxa"/>
              <w:bottom w:w="120" w:type="dxa"/>
              <w:end w:w="140" w:type="dxa"/>
            </w:tcMar>
            <w:vAlign w:val="center"/>
          </w:tcPr>
          <w:p>
            <w:pPr>
              <w:spacing w:after="0"/>
            </w:pPr>
            <w:r>
              <w:rPr>
                <w:sz w:val="18"/>
              </w:rPr>
              <w:t>No change</w:t>
            </w:r>
          </w:p>
        </w:tc>
      </w:tr>
      <w:tr>
        <w:tc>
          <w:tcPr>
            <w:tcW w:type="dxa" w:w="2835"/>
            <w:tcMar>
              <w:top w:w="120" w:type="dxa"/>
              <w:start w:w="140" w:type="dxa"/>
              <w:bottom w:w="120" w:type="dxa"/>
              <w:end w:w="140" w:type="dxa"/>
            </w:tcMar>
            <w:vAlign w:val="center"/>
          </w:tcPr>
          <w:p>
            <w:pPr>
              <w:spacing w:after="0"/>
            </w:pPr>
            <w:r>
              <w:rPr>
                <w:sz w:val="18"/>
              </w:rPr>
              <w:t>Bank remaining</w:t>
            </w:r>
          </w:p>
        </w:tc>
        <w:tc>
          <w:tcPr>
            <w:tcW w:type="dxa" w:w="1871"/>
            <w:tcMar>
              <w:top w:w="120" w:type="dxa"/>
              <w:start w:w="140" w:type="dxa"/>
              <w:bottom w:w="120" w:type="dxa"/>
              <w:end w:w="140" w:type="dxa"/>
            </w:tcMar>
            <w:vAlign w:val="center"/>
          </w:tcPr>
          <w:p>
            <w:pPr>
              <w:spacing w:after="0"/>
            </w:pPr>
            <w:r>
              <w:rPr>
                <w:sz w:val="18"/>
              </w:rPr>
              <w:t>£12,903,069.59</w:t>
            </w:r>
          </w:p>
        </w:tc>
        <w:tc>
          <w:tcPr>
            <w:tcW w:type="dxa" w:w="1871"/>
            <w:tcMar>
              <w:top w:w="120" w:type="dxa"/>
              <w:start w:w="140" w:type="dxa"/>
              <w:bottom w:w="120" w:type="dxa"/>
              <w:end w:w="140" w:type="dxa"/>
            </w:tcMar>
            <w:vAlign w:val="center"/>
          </w:tcPr>
          <w:p>
            <w:pPr>
              <w:spacing w:after="0"/>
            </w:pPr>
            <w:r>
              <w:rPr>
                <w:sz w:val="18"/>
              </w:rPr>
              <w:t>£12,903,069.59</w:t>
            </w:r>
          </w:p>
        </w:tc>
        <w:tc>
          <w:tcPr>
            <w:tcW w:type="dxa" w:w="2268"/>
            <w:tcMar>
              <w:top w:w="120" w:type="dxa"/>
              <w:start w:w="140" w:type="dxa"/>
              <w:bottom w:w="120" w:type="dxa"/>
              <w:end w:w="140" w:type="dxa"/>
            </w:tcMar>
            <w:vAlign w:val="center"/>
          </w:tcPr>
          <w:p>
            <w:pPr>
              <w:spacing w:after="0"/>
            </w:pPr>
            <w:r>
              <w:rPr>
                <w:sz w:val="18"/>
              </w:rPr>
              <w:t>No change</w:t>
            </w:r>
          </w:p>
        </w:tc>
      </w:tr>
      <w:tr>
        <w:tc>
          <w:tcPr>
            <w:tcW w:type="dxa" w:w="2835"/>
            <w:shd w:fill="F8FAFC"/>
            <w:tcMar>
              <w:top w:w="120" w:type="dxa"/>
              <w:start w:w="140" w:type="dxa"/>
              <w:bottom w:w="120" w:type="dxa"/>
              <w:end w:w="140" w:type="dxa"/>
            </w:tcMar>
            <w:vAlign w:val="center"/>
          </w:tcPr>
          <w:p>
            <w:pPr>
              <w:spacing w:after="0"/>
            </w:pPr>
            <w:r>
              <w:rPr>
                <w:sz w:val="18"/>
              </w:rPr>
              <w:t>Invoice records</w:t>
            </w:r>
          </w:p>
        </w:tc>
        <w:tc>
          <w:tcPr>
            <w:tcW w:type="dxa" w:w="1871"/>
            <w:shd w:fill="F8FAFC"/>
            <w:tcMar>
              <w:top w:w="120" w:type="dxa"/>
              <w:start w:w="140" w:type="dxa"/>
              <w:bottom w:w="120" w:type="dxa"/>
              <w:end w:w="140" w:type="dxa"/>
            </w:tcMar>
            <w:vAlign w:val="center"/>
          </w:tcPr>
          <w:p>
            <w:pPr>
              <w:spacing w:after="0"/>
            </w:pPr>
            <w:r>
              <w:rPr>
                <w:sz w:val="18"/>
              </w:rPr>
              <w:t>28,143</w:t>
            </w:r>
          </w:p>
        </w:tc>
        <w:tc>
          <w:tcPr>
            <w:tcW w:type="dxa" w:w="1871"/>
            <w:shd w:fill="F8FAFC"/>
            <w:tcMar>
              <w:top w:w="120" w:type="dxa"/>
              <w:start w:w="140" w:type="dxa"/>
              <w:bottom w:w="120" w:type="dxa"/>
              <w:end w:w="140" w:type="dxa"/>
            </w:tcMar>
            <w:vAlign w:val="center"/>
          </w:tcPr>
          <w:p>
            <w:pPr>
              <w:spacing w:after="0"/>
            </w:pPr>
            <w:r>
              <w:rPr>
                <w:sz w:val="18"/>
              </w:rPr>
              <w:t>28,143</w:t>
            </w:r>
          </w:p>
        </w:tc>
        <w:tc>
          <w:tcPr>
            <w:tcW w:type="dxa" w:w="2268"/>
            <w:shd w:fill="F8FAFC"/>
            <w:tcMar>
              <w:top w:w="120" w:type="dxa"/>
              <w:start w:w="140" w:type="dxa"/>
              <w:bottom w:w="120" w:type="dxa"/>
              <w:end w:w="140" w:type="dxa"/>
            </w:tcMar>
            <w:vAlign w:val="center"/>
          </w:tcPr>
          <w:p>
            <w:pPr>
              <w:spacing w:after="0"/>
            </w:pPr>
            <w:r>
              <w:rPr>
                <w:sz w:val="18"/>
              </w:rPr>
              <w:t>Same records; different order</w:t>
            </w:r>
          </w:p>
        </w:tc>
      </w:tr>
    </w:tbl>
    <w:p>
      <w:pPr>
        <w:pStyle w:val="Heading2"/>
      </w:pPr>
      <w:r>
        <w:t>Shackletons Home and Garden (MIN)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2"/>
            <w:shd w:fill="0F172A"/>
            <w:vAlign w:val="center"/>
            <w:tcMar>
              <w:top w:w="120" w:type="dxa"/>
              <w:start w:w="140" w:type="dxa"/>
              <w:bottom w:w="120" w:type="dxa"/>
              <w:end w:w="140" w:type="dxa"/>
            </w:tcMar>
          </w:tcPr>
          <w:p>
            <w:pPr>
              <w:spacing w:after="0"/>
            </w:pPr>
            <w:r>
              <w:rPr>
                <w:b/>
                <w:color w:val="FFFFFF"/>
                <w:sz w:val="18"/>
              </w:rPr>
              <w:t>Observation</w:t>
            </w:r>
          </w:p>
        </w:tc>
        <w:tc>
          <w:tcPr>
            <w:tcW w:type="dxa" w:w="5443"/>
            <w:shd w:fill="0F172A"/>
            <w:vAlign w:val="center"/>
            <w:tcMar>
              <w:top w:w="120" w:type="dxa"/>
              <w:start w:w="140" w:type="dxa"/>
              <w:bottom w:w="120" w:type="dxa"/>
              <w:end w:w="140" w:type="dxa"/>
            </w:tcMar>
          </w:tcPr>
          <w:p>
            <w:pPr>
              <w:spacing w:after="0"/>
            </w:pPr>
            <w:r>
              <w:rPr>
                <w:b/>
                <w:color w:val="FFFFFF"/>
                <w:sz w:val="18"/>
              </w:rPr>
              <w:t>Result</w:t>
            </w:r>
          </w:p>
        </w:tc>
      </w:tr>
      <w:tr>
        <w:tc>
          <w:tcPr>
            <w:tcW w:type="dxa" w:w="3402"/>
            <w:tcMar>
              <w:top w:w="120" w:type="dxa"/>
              <w:start w:w="140" w:type="dxa"/>
              <w:bottom w:w="120" w:type="dxa"/>
              <w:end w:w="140" w:type="dxa"/>
            </w:tcMar>
            <w:vAlign w:val="center"/>
          </w:tcPr>
          <w:p>
            <w:pPr>
              <w:spacing w:after="0"/>
            </w:pPr>
            <w:r>
              <w:rPr>
                <w:sz w:val="18"/>
              </w:rPr>
              <w:t>Mapped bank transactions</w:t>
            </w:r>
          </w:p>
        </w:tc>
        <w:tc>
          <w:tcPr>
            <w:tcW w:type="dxa" w:w="5443"/>
            <w:tcMar>
              <w:top w:w="120" w:type="dxa"/>
              <w:start w:w="140" w:type="dxa"/>
              <w:bottom w:w="120" w:type="dxa"/>
              <w:end w:w="140" w:type="dxa"/>
            </w:tcMar>
            <w:vAlign w:val="center"/>
          </w:tcPr>
          <w:p>
            <w:pPr>
              <w:spacing w:after="0"/>
            </w:pPr>
            <w:r>
              <w:rPr>
                <w:sz w:val="18"/>
              </w:rPr>
              <w:t>22</w:t>
            </w:r>
          </w:p>
        </w:tc>
      </w:tr>
      <w:tr>
        <w:tc>
          <w:tcPr>
            <w:tcW w:type="dxa" w:w="3402"/>
            <w:shd w:fill="F8FAFC"/>
            <w:tcMar>
              <w:top w:w="120" w:type="dxa"/>
              <w:start w:w="140" w:type="dxa"/>
              <w:bottom w:w="120" w:type="dxa"/>
              <w:end w:w="140" w:type="dxa"/>
            </w:tcMar>
            <w:vAlign w:val="center"/>
          </w:tcPr>
          <w:p>
            <w:pPr>
              <w:spacing w:after="0"/>
            </w:pPr>
            <w:r>
              <w:rPr>
                <w:sz w:val="18"/>
              </w:rPr>
              <w:t>Total payments</w:t>
            </w:r>
          </w:p>
        </w:tc>
        <w:tc>
          <w:tcPr>
            <w:tcW w:type="dxa" w:w="5443"/>
            <w:shd w:fill="F8FAFC"/>
            <w:tcMar>
              <w:top w:w="120" w:type="dxa"/>
              <w:start w:w="140" w:type="dxa"/>
              <w:bottom w:w="120" w:type="dxa"/>
              <w:end w:w="140" w:type="dxa"/>
            </w:tcMar>
            <w:vAlign w:val="center"/>
          </w:tcPr>
          <w:p>
            <w:pPr>
              <w:spacing w:after="0"/>
            </w:pPr>
            <w:r>
              <w:rPr>
                <w:sz w:val="18"/>
              </w:rPr>
              <w:t>£117,041.96</w:t>
            </w:r>
          </w:p>
        </w:tc>
      </w:tr>
      <w:tr>
        <w:tc>
          <w:tcPr>
            <w:tcW w:type="dxa" w:w="3402"/>
            <w:tcMar>
              <w:top w:w="120" w:type="dxa"/>
              <w:start w:w="140" w:type="dxa"/>
              <w:bottom w:w="120" w:type="dxa"/>
              <w:end w:w="140" w:type="dxa"/>
            </w:tcMar>
            <w:vAlign w:val="center"/>
          </w:tcPr>
          <w:p>
            <w:pPr>
              <w:spacing w:after="0"/>
            </w:pPr>
            <w:r>
              <w:rPr>
                <w:sz w:val="18"/>
              </w:rPr>
              <w:t>Committed allocation</w:t>
            </w:r>
          </w:p>
        </w:tc>
        <w:tc>
          <w:tcPr>
            <w:tcW w:type="dxa" w:w="5443"/>
            <w:tcMar>
              <w:top w:w="120" w:type="dxa"/>
              <w:start w:w="140" w:type="dxa"/>
              <w:bottom w:w="120" w:type="dxa"/>
              <w:end w:w="140" w:type="dxa"/>
            </w:tcMar>
            <w:vAlign w:val="center"/>
          </w:tcPr>
          <w:p>
            <w:pPr>
              <w:spacing w:after="0"/>
            </w:pPr>
            <w:r>
              <w:rPr>
                <w:sz w:val="18"/>
              </w:rPr>
              <w:t>£0.00</w:t>
            </w:r>
          </w:p>
        </w:tc>
      </w:tr>
      <w:tr>
        <w:tc>
          <w:tcPr>
            <w:tcW w:type="dxa" w:w="3402"/>
            <w:shd w:fill="F8FAFC"/>
            <w:tcMar>
              <w:top w:w="120" w:type="dxa"/>
              <w:start w:w="140" w:type="dxa"/>
              <w:bottom w:w="120" w:type="dxa"/>
              <w:end w:w="140" w:type="dxa"/>
            </w:tcMar>
            <w:vAlign w:val="center"/>
          </w:tcPr>
          <w:p>
            <w:pPr>
              <w:spacing w:after="0"/>
            </w:pPr>
            <w:r>
              <w:rPr>
                <w:sz w:val="18"/>
              </w:rPr>
              <w:t>Suggested allocation</w:t>
            </w:r>
          </w:p>
        </w:tc>
        <w:tc>
          <w:tcPr>
            <w:tcW w:type="dxa" w:w="5443"/>
            <w:shd w:fill="F8FAFC"/>
            <w:tcMar>
              <w:top w:w="120" w:type="dxa"/>
              <w:start w:w="140" w:type="dxa"/>
              <w:bottom w:w="120" w:type="dxa"/>
              <w:end w:w="140" w:type="dxa"/>
            </w:tcMar>
            <w:vAlign w:val="center"/>
          </w:tcPr>
          <w:p>
            <w:pPr>
              <w:spacing w:after="0"/>
            </w:pPr>
            <w:r>
              <w:rPr>
                <w:sz w:val="18"/>
              </w:rPr>
              <w:t>£117,041.96</w:t>
            </w:r>
          </w:p>
        </w:tc>
      </w:tr>
      <w:tr>
        <w:tc>
          <w:tcPr>
            <w:tcW w:type="dxa" w:w="3402"/>
            <w:tcMar>
              <w:top w:w="120" w:type="dxa"/>
              <w:start w:w="140" w:type="dxa"/>
              <w:bottom w:w="120" w:type="dxa"/>
              <w:end w:w="140" w:type="dxa"/>
            </w:tcMar>
            <w:vAlign w:val="center"/>
          </w:tcPr>
          <w:p>
            <w:pPr>
              <w:spacing w:after="0"/>
            </w:pPr>
            <w:r>
              <w:rPr>
                <w:sz w:val="18"/>
              </w:rPr>
              <w:t>Decision in both tests</w:t>
            </w:r>
          </w:p>
        </w:tc>
        <w:tc>
          <w:tcPr>
            <w:tcW w:type="dxa" w:w="5443"/>
            <w:tcMar>
              <w:top w:w="120" w:type="dxa"/>
              <w:start w:w="140" w:type="dxa"/>
              <w:bottom w:w="120" w:type="dxa"/>
              <w:end w:w="140" w:type="dxa"/>
            </w:tcMar>
            <w:vAlign w:val="center"/>
          </w:tcPr>
          <w:p>
            <w:pPr>
              <w:spacing w:after="0"/>
            </w:pPr>
            <w:r>
              <w:rPr>
                <w:sz w:val="18"/>
              </w:rPr>
              <w:t>Suggestion requiring confirmation</w:t>
            </w:r>
          </w:p>
        </w:tc>
      </w:tr>
      <w:tr>
        <w:tc>
          <w:tcPr>
            <w:tcW w:type="dxa" w:w="3402"/>
            <w:shd w:fill="F8FAFC"/>
            <w:tcMar>
              <w:top w:w="120" w:type="dxa"/>
              <w:start w:w="140" w:type="dxa"/>
              <w:bottom w:w="120" w:type="dxa"/>
              <w:end w:w="140" w:type="dxa"/>
            </w:tcMar>
            <w:vAlign w:val="center"/>
          </w:tcPr>
          <w:p>
            <w:pPr>
              <w:spacing w:after="0"/>
            </w:pPr>
            <w:r>
              <w:rPr>
                <w:sz w:val="18"/>
              </w:rPr>
              <w:t>Mapping evidence</w:t>
            </w:r>
          </w:p>
        </w:tc>
        <w:tc>
          <w:tcPr>
            <w:tcW w:type="dxa" w:w="5443"/>
            <w:shd w:fill="F8FAFC"/>
            <w:tcMar>
              <w:top w:w="120" w:type="dxa"/>
              <w:start w:w="140" w:type="dxa"/>
              <w:bottom w:w="120" w:type="dxa"/>
              <w:end w:w="140" w:type="dxa"/>
            </w:tcMar>
            <w:vAlign w:val="center"/>
          </w:tcPr>
          <w:p>
            <w:pPr>
              <w:spacing w:after="0"/>
            </w:pPr>
            <w:r>
              <w:rPr>
                <w:sz w:val="18"/>
              </w:rPr>
              <w:t>Two overlapping mapping IDs for the same source and debtor</w:t>
            </w:r>
          </w:p>
        </w:tc>
      </w:tr>
    </w:tbl>
    <w:p>
      <w:pPr>
        <w:pStyle w:val="Heading2"/>
      </w:pPr>
      <w:r>
        <w:t>A. Share &amp; Sons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2"/>
            <w:shd w:fill="0F172A"/>
            <w:vAlign w:val="center"/>
            <w:tcMar>
              <w:top w:w="120" w:type="dxa"/>
              <w:start w:w="140" w:type="dxa"/>
              <w:bottom w:w="120" w:type="dxa"/>
              <w:end w:w="140" w:type="dxa"/>
            </w:tcMar>
          </w:tcPr>
          <w:p>
            <w:pPr>
              <w:spacing w:after="0"/>
            </w:pPr>
            <w:r>
              <w:rPr>
                <w:b/>
                <w:color w:val="FFFFFF"/>
                <w:sz w:val="18"/>
              </w:rPr>
              <w:t>Observation</w:t>
            </w:r>
          </w:p>
        </w:tc>
        <w:tc>
          <w:tcPr>
            <w:tcW w:type="dxa" w:w="5443"/>
            <w:shd w:fill="0F172A"/>
            <w:vAlign w:val="center"/>
            <w:tcMar>
              <w:top w:w="120" w:type="dxa"/>
              <w:start w:w="140" w:type="dxa"/>
              <w:bottom w:w="120" w:type="dxa"/>
              <w:end w:w="140" w:type="dxa"/>
            </w:tcMar>
          </w:tcPr>
          <w:p>
            <w:pPr>
              <w:spacing w:after="0"/>
            </w:pPr>
            <w:r>
              <w:rPr>
                <w:b/>
                <w:color w:val="FFFFFF"/>
                <w:sz w:val="18"/>
              </w:rPr>
              <w:t>Result</w:t>
            </w:r>
          </w:p>
        </w:tc>
      </w:tr>
      <w:tr>
        <w:tc>
          <w:tcPr>
            <w:tcW w:type="dxa" w:w="3402"/>
            <w:tcMar>
              <w:top w:w="120" w:type="dxa"/>
              <w:start w:w="140" w:type="dxa"/>
              <w:bottom w:w="120" w:type="dxa"/>
              <w:end w:w="140" w:type="dxa"/>
            </w:tcMar>
            <w:vAlign w:val="center"/>
          </w:tcPr>
          <w:p>
            <w:pPr>
              <w:spacing w:after="0"/>
            </w:pPr>
            <w:r>
              <w:rPr>
                <w:sz w:val="18"/>
              </w:rPr>
              <w:t>Bank transactions</w:t>
            </w:r>
          </w:p>
        </w:tc>
        <w:tc>
          <w:tcPr>
            <w:tcW w:type="dxa" w:w="5443"/>
            <w:tcMar>
              <w:top w:w="120" w:type="dxa"/>
              <w:start w:w="140" w:type="dxa"/>
              <w:bottom w:w="120" w:type="dxa"/>
              <w:end w:w="140" w:type="dxa"/>
            </w:tcMar>
            <w:vAlign w:val="center"/>
          </w:tcPr>
          <w:p>
            <w:pPr>
              <w:spacing w:after="0"/>
            </w:pPr>
            <w:r>
              <w:rPr>
                <w:sz w:val="18"/>
              </w:rPr>
              <w:t>6</w:t>
            </w:r>
          </w:p>
        </w:tc>
      </w:tr>
      <w:tr>
        <w:tc>
          <w:tcPr>
            <w:tcW w:type="dxa" w:w="3402"/>
            <w:shd w:fill="F8FAFC"/>
            <w:tcMar>
              <w:top w:w="120" w:type="dxa"/>
              <w:start w:w="140" w:type="dxa"/>
              <w:bottom w:w="120" w:type="dxa"/>
              <w:end w:w="140" w:type="dxa"/>
            </w:tcMar>
            <w:vAlign w:val="center"/>
          </w:tcPr>
          <w:p>
            <w:pPr>
              <w:spacing w:after="0"/>
            </w:pPr>
            <w:r>
              <w:rPr>
                <w:sz w:val="18"/>
              </w:rPr>
              <w:t>Total payments</w:t>
            </w:r>
          </w:p>
        </w:tc>
        <w:tc>
          <w:tcPr>
            <w:tcW w:type="dxa" w:w="5443"/>
            <w:shd w:fill="F8FAFC"/>
            <w:tcMar>
              <w:top w:w="120" w:type="dxa"/>
              <w:start w:w="140" w:type="dxa"/>
              <w:bottom w:w="120" w:type="dxa"/>
              <w:end w:w="140" w:type="dxa"/>
            </w:tcMar>
            <w:vAlign w:val="center"/>
          </w:tcPr>
          <w:p>
            <w:pPr>
              <w:spacing w:after="0"/>
            </w:pPr>
            <w:r>
              <w:rPr>
                <w:sz w:val="18"/>
              </w:rPr>
              <w:t>£2,675,348.70</w:t>
            </w:r>
          </w:p>
        </w:tc>
      </w:tr>
      <w:tr>
        <w:tc>
          <w:tcPr>
            <w:tcW w:type="dxa" w:w="3402"/>
            <w:tcMar>
              <w:top w:w="120" w:type="dxa"/>
              <w:start w:w="140" w:type="dxa"/>
              <w:bottom w:w="120" w:type="dxa"/>
              <w:end w:w="140" w:type="dxa"/>
            </w:tcMar>
            <w:vAlign w:val="center"/>
          </w:tcPr>
          <w:p>
            <w:pPr>
              <w:spacing w:after="0"/>
            </w:pPr>
            <w:r>
              <w:rPr>
                <w:sz w:val="18"/>
              </w:rPr>
              <w:t>Committed allocation</w:t>
            </w:r>
          </w:p>
        </w:tc>
        <w:tc>
          <w:tcPr>
            <w:tcW w:type="dxa" w:w="5443"/>
            <w:tcMar>
              <w:top w:w="120" w:type="dxa"/>
              <w:start w:w="140" w:type="dxa"/>
              <w:bottom w:w="120" w:type="dxa"/>
              <w:end w:w="140" w:type="dxa"/>
            </w:tcMar>
            <w:vAlign w:val="center"/>
          </w:tcPr>
          <w:p>
            <w:pPr>
              <w:spacing w:after="0"/>
            </w:pPr>
            <w:r>
              <w:rPr>
                <w:sz w:val="18"/>
              </w:rPr>
              <w:t>£0.00</w:t>
            </w:r>
          </w:p>
        </w:tc>
      </w:tr>
      <w:tr>
        <w:tc>
          <w:tcPr>
            <w:tcW w:type="dxa" w:w="3402"/>
            <w:shd w:fill="F8FAFC"/>
            <w:tcMar>
              <w:top w:w="120" w:type="dxa"/>
              <w:start w:w="140" w:type="dxa"/>
              <w:bottom w:w="120" w:type="dxa"/>
              <w:end w:w="140" w:type="dxa"/>
            </w:tcMar>
            <w:vAlign w:val="center"/>
          </w:tcPr>
          <w:p>
            <w:pPr>
              <w:spacing w:after="0"/>
            </w:pPr>
            <w:r>
              <w:rPr>
                <w:sz w:val="18"/>
              </w:rPr>
              <w:t>Current decision</w:t>
            </w:r>
          </w:p>
        </w:tc>
        <w:tc>
          <w:tcPr>
            <w:tcW w:type="dxa" w:w="5443"/>
            <w:shd w:fill="F8FAFC"/>
            <w:tcMar>
              <w:top w:w="120" w:type="dxa"/>
              <w:start w:w="140" w:type="dxa"/>
              <w:bottom w:w="120" w:type="dxa"/>
              <w:end w:w="140" w:type="dxa"/>
            </w:tcMar>
            <w:vAlign w:val="center"/>
          </w:tcPr>
          <w:p>
            <w:pPr>
              <w:spacing w:after="0"/>
            </w:pPr>
            <w:r>
              <w:rPr>
                <w:sz w:val="18"/>
              </w:rPr>
              <w:t>90% fuzzy suggestion</w:t>
            </w:r>
          </w:p>
        </w:tc>
      </w:tr>
      <w:tr>
        <w:tc>
          <w:tcPr>
            <w:tcW w:type="dxa" w:w="3402"/>
            <w:tcMar>
              <w:top w:w="120" w:type="dxa"/>
              <w:start w:w="140" w:type="dxa"/>
              <w:bottom w:w="120" w:type="dxa"/>
              <w:end w:w="140" w:type="dxa"/>
            </w:tcMar>
            <w:vAlign w:val="center"/>
          </w:tcPr>
          <w:p>
            <w:pPr>
              <w:spacing w:after="0"/>
            </w:pPr>
            <w:r>
              <w:rPr>
                <w:sz w:val="18"/>
              </w:rPr>
              <w:t>Client-mapping evidence</w:t>
            </w:r>
          </w:p>
        </w:tc>
        <w:tc>
          <w:tcPr>
            <w:tcW w:type="dxa" w:w="5443"/>
            <w:tcMar>
              <w:top w:w="120" w:type="dxa"/>
              <w:start w:w="140" w:type="dxa"/>
              <w:bottom w:w="120" w:type="dxa"/>
              <w:end w:w="140" w:type="dxa"/>
            </w:tcMar>
            <w:vAlign w:val="center"/>
          </w:tcPr>
          <w:p>
            <w:pPr>
              <w:spacing w:after="0"/>
            </w:pPr>
            <w:r>
              <w:rPr>
                <w:sz w:val="18"/>
              </w:rPr>
              <w:t>None</w:t>
            </w:r>
          </w:p>
        </w:tc>
      </w:tr>
      <w:tr>
        <w:tc>
          <w:tcPr>
            <w:tcW w:type="dxa" w:w="3402"/>
            <w:shd w:fill="F8FAFC"/>
            <w:tcMar>
              <w:top w:w="120" w:type="dxa"/>
              <w:start w:w="140" w:type="dxa"/>
              <w:bottom w:w="120" w:type="dxa"/>
              <w:end w:w="140" w:type="dxa"/>
            </w:tcMar>
            <w:vAlign w:val="center"/>
          </w:tcPr>
          <w:p>
            <w:pPr>
              <w:spacing w:after="0"/>
            </w:pPr>
            <w:r>
              <w:rPr>
                <w:sz w:val="18"/>
              </w:rPr>
              <w:t>Narrative location</w:t>
            </w:r>
          </w:p>
        </w:tc>
        <w:tc>
          <w:tcPr>
            <w:tcW w:type="dxa" w:w="5443"/>
            <w:shd w:fill="F8FAFC"/>
            <w:tcMar>
              <w:top w:w="120" w:type="dxa"/>
              <w:start w:w="140" w:type="dxa"/>
              <w:bottom w:w="120" w:type="dxa"/>
              <w:end w:w="140" w:type="dxa"/>
            </w:tcMar>
            <w:vAlign w:val="center"/>
          </w:tcPr>
          <w:p>
            <w:pPr>
              <w:spacing w:after="0"/>
            </w:pPr>
            <w:r>
              <w:rPr>
                <w:sz w:val="18"/>
              </w:rPr>
              <w:t>Bank Payer field; Bank Reference contains a C3 transaction identifier</w:t>
            </w:r>
          </w:p>
        </w:tc>
      </w:tr>
    </w:tbl>
    <w:tbl>
      <w:tblPr>
        <w:tblW w:type="auto" w:w="0"/>
        <w:jc w:val="center"/>
        <w:tblLayout w:type="autofit"/>
        <w:tblLook w:firstColumn="1" w:firstRow="1" w:lastColumn="0" w:lastRow="0" w:noHBand="0" w:noVBand="1" w:val="04A0"/>
      </w:tblPr>
      <w:tblGrid>
        <w:gridCol w:w="9638"/>
      </w:tblGrid>
      <w:tr>
        <w:tc>
          <w:tcPr>
            <w:tcW w:type="dxa" w:w="9638"/>
            <w:shd w:fill="EFF6FF"/>
            <w:tcMar>
              <w:top w:w="180" w:type="dxa"/>
              <w:start w:w="220" w:type="dxa"/>
              <w:bottom w:w="180" w:type="dxa"/>
              <w:end w:w="220" w:type="dxa"/>
            </w:tcMar>
          </w:tcPr>
          <w:p>
            <w:pPr>
              <w:spacing w:after="100"/>
            </w:pPr>
            <w:r>
              <w:rPr>
                <w:b/>
                <w:color w:val="1D4ED8"/>
              </w:rPr>
              <w:t>Conclusion from the files</w:t>
            </w:r>
          </w:p>
          <w:p>
            <w:pPr>
              <w:spacing w:after="0"/>
            </w:pPr>
            <w:r>
              <w:t>The client’s description is accurate: Test 15 records additional mapping evidence for Shackletons but does not change any financial outcome, while the A. Share reference variation is bypassed and fuzzy matching remains in control.</w:t>
            </w:r>
          </w:p>
        </w:tc>
      </w:tr>
    </w:tbl>
    <w:p>
      <w:pPr>
        <w:pStyle w:val="Heading1"/>
        <w:keepNext/>
      </w:pPr>
      <w:r>
        <w:t>3. Mapping and FIFO allocation enhancements</w:t>
      </w:r>
    </w:p>
    <w:p>
      <w:r>
        <w:t>Client mappings now offer three clearly separated permission levels: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551"/>
            <w:shd w:fill="0F172A"/>
            <w:vAlign w:val="center"/>
            <w:tcMar>
              <w:top w:w="120" w:type="dxa"/>
              <w:start w:w="140" w:type="dxa"/>
              <w:bottom w:w="120" w:type="dxa"/>
              <w:end w:w="140" w:type="dxa"/>
            </w:tcMar>
          </w:tcPr>
          <w:p>
            <w:pPr>
              <w:spacing w:after="0"/>
            </w:pPr>
            <w:r>
              <w:rPr>
                <w:b/>
                <w:color w:val="FFFFFF"/>
                <w:sz w:val="18"/>
              </w:rPr>
              <w:t>Permission</w:t>
            </w:r>
          </w:p>
        </w:tc>
        <w:tc>
          <w:tcPr>
            <w:tcW w:type="dxa" w:w="3969"/>
            <w:shd w:fill="0F172A"/>
            <w:vAlign w:val="center"/>
            <w:tcMar>
              <w:top w:w="120" w:type="dxa"/>
              <w:start w:w="140" w:type="dxa"/>
              <w:bottom w:w="120" w:type="dxa"/>
              <w:end w:w="140" w:type="dxa"/>
            </w:tcMar>
          </w:tcPr>
          <w:p>
            <w:pPr>
              <w:spacing w:after="0"/>
            </w:pPr>
            <w:r>
              <w:rPr>
                <w:b/>
                <w:color w:val="FFFFFF"/>
                <w:sz w:val="18"/>
              </w:rPr>
              <w:t>Behavior</w:t>
            </w:r>
          </w:p>
        </w:tc>
        <w:tc>
          <w:tcPr>
            <w:tcW w:type="dxa" w:w="2324"/>
            <w:shd w:fill="0F172A"/>
            <w:vAlign w:val="center"/>
            <w:tcMar>
              <w:top w:w="120" w:type="dxa"/>
              <w:start w:w="140" w:type="dxa"/>
              <w:bottom w:w="120" w:type="dxa"/>
              <w:end w:w="140" w:type="dxa"/>
            </w:tcMar>
          </w:tcPr>
          <w:p>
            <w:pPr>
              <w:spacing w:after="0"/>
            </w:pPr>
            <w:r>
              <w:rPr>
                <w:b/>
                <w:color w:val="FFFFFF"/>
                <w:sz w:val="18"/>
              </w:rPr>
              <w:t>Balance impact</w:t>
            </w:r>
          </w:p>
        </w:tc>
      </w:tr>
      <w:tr>
        <w:tc>
          <w:tcPr>
            <w:tcW w:type="dxa" w:w="2551"/>
            <w:tcMar>
              <w:top w:w="120" w:type="dxa"/>
              <w:start w:w="140" w:type="dxa"/>
              <w:bottom w:w="120" w:type="dxa"/>
              <w:end w:w="140" w:type="dxa"/>
            </w:tcMar>
            <w:vAlign w:val="center"/>
          </w:tcPr>
          <w:p>
            <w:pPr>
              <w:spacing w:after="0"/>
            </w:pPr>
            <w:r>
              <w:rPr>
                <w:sz w:val="18"/>
              </w:rPr>
              <w:t>Identification only</w:t>
            </w:r>
          </w:p>
        </w:tc>
        <w:tc>
          <w:tcPr>
            <w:tcW w:type="dxa" w:w="3969"/>
            <w:tcMar>
              <w:top w:w="120" w:type="dxa"/>
              <w:start w:w="140" w:type="dxa"/>
              <w:bottom w:w="120" w:type="dxa"/>
              <w:end w:w="140" w:type="dxa"/>
            </w:tcMar>
            <w:vAlign w:val="center"/>
          </w:tcPr>
          <w:p>
            <w:pPr>
              <w:spacing w:after="0"/>
            </w:pPr>
            <w:r>
              <w:rPr>
                <w:sz w:val="18"/>
              </w:rPr>
              <w:t>Identifies the debtor and may offer one unambiguous invoice for review.</w:t>
            </w:r>
          </w:p>
        </w:tc>
        <w:tc>
          <w:tcPr>
            <w:tcW w:type="dxa" w:w="2324"/>
            <w:tcMar>
              <w:top w:w="120" w:type="dxa"/>
              <w:start w:w="140" w:type="dxa"/>
              <w:bottom w:w="120" w:type="dxa"/>
              <w:end w:w="140" w:type="dxa"/>
            </w:tcMar>
            <w:vAlign w:val="center"/>
          </w:tcPr>
          <w:p>
            <w:pPr>
              <w:spacing w:after="0"/>
            </w:pPr>
            <w:r>
              <w:rPr>
                <w:sz w:val="18"/>
              </w:rPr>
              <w:t>No automatic balance change</w:t>
            </w:r>
          </w:p>
        </w:tc>
      </w:tr>
      <w:tr>
        <w:tc>
          <w:tcPr>
            <w:tcW w:type="dxa" w:w="2551"/>
            <w:shd w:fill="F8FAFC"/>
            <w:tcMar>
              <w:top w:w="120" w:type="dxa"/>
              <w:start w:w="140" w:type="dxa"/>
              <w:bottom w:w="120" w:type="dxa"/>
              <w:end w:w="140" w:type="dxa"/>
            </w:tcMar>
            <w:vAlign w:val="center"/>
          </w:tcPr>
          <w:p>
            <w:pPr>
              <w:spacing w:after="0"/>
            </w:pPr>
            <w:r>
              <w:rPr>
                <w:sz w:val="18"/>
              </w:rPr>
              <w:t>FIFO proposals permitted</w:t>
            </w:r>
          </w:p>
        </w:tc>
        <w:tc>
          <w:tcPr>
            <w:tcW w:type="dxa" w:w="3969"/>
            <w:shd w:fill="F8FAFC"/>
            <w:tcMar>
              <w:top w:w="120" w:type="dxa"/>
              <w:start w:w="140" w:type="dxa"/>
              <w:bottom w:w="120" w:type="dxa"/>
              <w:end w:w="140" w:type="dxa"/>
            </w:tcMar>
            <w:vAlign w:val="center"/>
          </w:tcPr>
          <w:p>
            <w:pPr>
              <w:spacing w:after="0"/>
            </w:pPr>
            <w:r>
              <w:rPr>
                <w:sz w:val="18"/>
              </w:rPr>
              <w:t>Proposes allocation against the debtor’s oldest open invoices.</w:t>
            </w:r>
          </w:p>
        </w:tc>
        <w:tc>
          <w:tcPr>
            <w:tcW w:type="dxa" w:w="2324"/>
            <w:shd w:fill="F8FAFC"/>
            <w:tcMar>
              <w:top w:w="120" w:type="dxa"/>
              <w:start w:w="140" w:type="dxa"/>
              <w:bottom w:w="120" w:type="dxa"/>
              <w:end w:w="140" w:type="dxa"/>
            </w:tcMar>
            <w:vAlign w:val="center"/>
          </w:tcPr>
          <w:p>
            <w:pPr>
              <w:spacing w:after="0"/>
            </w:pPr>
            <w:r>
              <w:rPr>
                <w:sz w:val="18"/>
              </w:rPr>
              <w:t>Requires user confirmation</w:t>
            </w:r>
          </w:p>
        </w:tc>
      </w:tr>
      <w:tr>
        <w:tc>
          <w:tcPr>
            <w:tcW w:type="dxa" w:w="2551"/>
            <w:tcMar>
              <w:top w:w="120" w:type="dxa"/>
              <w:start w:w="140" w:type="dxa"/>
              <w:bottom w:w="120" w:type="dxa"/>
              <w:end w:w="140" w:type="dxa"/>
            </w:tcMar>
            <w:vAlign w:val="center"/>
          </w:tcPr>
          <w:p>
            <w:pPr>
              <w:spacing w:after="0"/>
            </w:pPr>
            <w:r>
              <w:rPr>
                <w:sz w:val="18"/>
              </w:rPr>
              <w:t>FIFO auto-allocation permitted</w:t>
            </w:r>
          </w:p>
        </w:tc>
        <w:tc>
          <w:tcPr>
            <w:tcW w:type="dxa" w:w="3969"/>
            <w:tcMar>
              <w:top w:w="120" w:type="dxa"/>
              <w:start w:w="140" w:type="dxa"/>
              <w:bottom w:w="120" w:type="dxa"/>
              <w:end w:w="140" w:type="dxa"/>
            </w:tcMar>
            <w:vAlign w:val="center"/>
          </w:tcPr>
          <w:p>
            <w:pPr>
              <w:spacing w:after="0"/>
            </w:pPr>
            <w:r>
              <w:rPr>
                <w:sz w:val="18"/>
              </w:rPr>
              <w:t>Immediately allocates against the debtor’s oldest open invoices.</w:t>
            </w:r>
          </w:p>
        </w:tc>
        <w:tc>
          <w:tcPr>
            <w:tcW w:type="dxa" w:w="2324"/>
            <w:tcMar>
              <w:top w:w="120" w:type="dxa"/>
              <w:start w:w="140" w:type="dxa"/>
              <w:bottom w:w="120" w:type="dxa"/>
              <w:end w:w="140" w:type="dxa"/>
            </w:tcMar>
            <w:vAlign w:val="center"/>
          </w:tcPr>
          <w:p>
            <w:pPr>
              <w:spacing w:after="0"/>
            </w:pPr>
            <w:r>
              <w:rPr>
                <w:sz w:val="18"/>
              </w:rPr>
              <w:t>Automatic; explicitly approved mapping only</w:t>
            </w:r>
          </w:p>
        </w:tc>
      </w:tr>
    </w:tbl>
    <w:p>
      <w:pPr>
        <w:pStyle w:val="Heading2"/>
      </w:pPr>
      <w:r>
        <w:t>Permission rules</w:t>
      </w:r>
    </w:p>
    <w:p>
      <w:pPr>
        <w:pStyle w:val="ListBullet"/>
        <w:spacing w:after="80"/>
      </w:pPr>
      <w:r>
        <w:t>Existing mappings retain their current behavior until their permission is deliberately changed.</w:t>
      </w:r>
    </w:p>
    <w:p>
      <w:pPr>
        <w:pStyle w:val="ListBullet"/>
        <w:spacing w:after="80"/>
      </w:pPr>
      <w:r>
        <w:t>Explicit invoice-reference matches continue to take precedence over debtor mappings.</w:t>
      </w:r>
    </w:p>
    <w:p>
      <w:pPr>
        <w:pStyle w:val="ListBullet"/>
        <w:spacing w:after="80"/>
      </w:pPr>
      <w:r>
        <w:t>Only active mappings belonging to the authenticated client organization are considered.</w:t>
      </w:r>
    </w:p>
    <w:p>
      <w:pPr>
        <w:pStyle w:val="ListBullet"/>
        <w:spacing w:after="80"/>
      </w:pPr>
      <w:r>
        <w:t>Mappings that identify different debtors are treated as ambiguous and cannot allocate automatically.</w:t>
      </w:r>
    </w:p>
    <w:p>
      <w:pPr>
        <w:pStyle w:val="ListBullet"/>
        <w:spacing w:after="80"/>
      </w:pPr>
      <w:r>
        <w:t>When overlapping mappings identify the same debtor, the most restrictive permission wins.</w:t>
      </w:r>
    </w:p>
    <w:p>
      <w:pPr>
        <w:pStyle w:val="ListBullet"/>
        <w:spacing w:after="80"/>
      </w:pPr>
      <w:r>
        <w:t>Mapping IDs, versions, source phrases, debtor targets and effective permissions remain visible in review evidence.</w:t>
      </w:r>
    </w:p>
    <w:tbl>
      <w:tblPr>
        <w:tblW w:type="auto" w:w="0"/>
        <w:jc w:val="center"/>
        <w:tblLayout w:type="autofit"/>
        <w:tblLook w:firstColumn="1" w:firstRow="1" w:lastColumn="0" w:lastRow="0" w:noHBand="0" w:noVBand="1" w:val="04A0"/>
      </w:tblPr>
      <w:tblGrid>
        <w:gridCol w:w="9638"/>
      </w:tblGrid>
      <w:tr>
        <w:tc>
          <w:tcPr>
            <w:tcW w:type="dxa" w:w="9638"/>
            <w:shd w:fill="FFFBEB"/>
            <w:tcMar>
              <w:top w:w="180" w:type="dxa"/>
              <w:start w:w="220" w:type="dxa"/>
              <w:bottom w:w="180" w:type="dxa"/>
              <w:end w:w="220" w:type="dxa"/>
            </w:tcMar>
          </w:tcPr>
          <w:p>
            <w:pPr>
              <w:spacing w:after="100"/>
            </w:pPr>
            <w:r>
              <w:rPr>
                <w:b/>
                <w:color w:val="B45309"/>
              </w:rPr>
              <w:t>Shackletons configuration action</w:t>
            </w:r>
          </w:p>
          <w:p>
            <w:pPr>
              <w:spacing w:after="0"/>
            </w:pPr>
            <w:r>
              <w:t>The Test 15 evidence shows two overlapping Shackletons mappings. Both must be set to FIFO auto-allocation permitted, or the redundant mapping should be deactivated. Changing only one mapping will intentionally leave the result as a reviewable proposal.</w:t>
            </w:r>
          </w:p>
        </w:tc>
      </w:tr>
    </w:tbl>
    <w:p>
      <w:pPr>
        <w:pStyle w:val="Heading1"/>
        <w:keepNext/>
      </w:pPr>
      <w:r>
        <w:t>4. Reference variation matching</w:t>
      </w:r>
    </w:p>
    <w:p>
      <w:r>
        <w:t>Reference variations now recognize the configured phrase anywhere within a wider bank narrative. Matching is case-insensitive and normalizes punctuation and whitespace. Transaction-specific data before or after the phrase does not need to remain constant.</w:t>
      </w:r>
    </w:p>
    <w:p>
      <w:pPr>
        <w:pStyle w:val="Heading2"/>
      </w:pPr>
      <w:r>
        <w:t>Client example</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438"/>
            <w:shd w:fill="0F172A"/>
            <w:vAlign w:val="center"/>
            <w:tcMar>
              <w:top w:w="120" w:type="dxa"/>
              <w:start w:w="140" w:type="dxa"/>
              <w:bottom w:w="120" w:type="dxa"/>
              <w:end w:w="140" w:type="dxa"/>
            </w:tcMar>
          </w:tcPr>
          <w:p>
            <w:pPr>
              <w:spacing w:after="0"/>
            </w:pPr>
            <w:r>
              <w:rPr>
                <w:b/>
                <w:color w:val="FFFFFF"/>
                <w:sz w:val="18"/>
              </w:rPr>
              <w:t>Field</w:t>
            </w:r>
          </w:p>
        </w:tc>
        <w:tc>
          <w:tcPr>
            <w:tcW w:type="dxa" w:w="6406"/>
            <w:shd w:fill="0F172A"/>
            <w:vAlign w:val="center"/>
            <w:tcMar>
              <w:top w:w="120" w:type="dxa"/>
              <w:start w:w="140" w:type="dxa"/>
              <w:bottom w:w="120" w:type="dxa"/>
              <w:end w:w="140" w:type="dxa"/>
            </w:tcMar>
          </w:tcPr>
          <w:p>
            <w:pPr>
              <w:spacing w:after="0"/>
            </w:pPr>
            <w:r>
              <w:rPr>
                <w:b/>
                <w:color w:val="FFFFFF"/>
                <w:sz w:val="18"/>
              </w:rPr>
              <w:t>Value</w:t>
            </w:r>
          </w:p>
        </w:tc>
      </w:tr>
      <w:tr>
        <w:tc>
          <w:tcPr>
            <w:tcW w:type="dxa" w:w="2438"/>
            <w:tcMar>
              <w:top w:w="120" w:type="dxa"/>
              <w:start w:w="140" w:type="dxa"/>
              <w:bottom w:w="120" w:type="dxa"/>
              <w:end w:w="140" w:type="dxa"/>
            </w:tcMar>
            <w:vAlign w:val="center"/>
          </w:tcPr>
          <w:p>
            <w:pPr>
              <w:spacing w:after="0"/>
            </w:pPr>
            <w:r>
              <w:rPr>
                <w:sz w:val="18"/>
              </w:rPr>
              <w:t>Configured phrase</w:t>
            </w:r>
          </w:p>
        </w:tc>
        <w:tc>
          <w:tcPr>
            <w:tcW w:type="dxa" w:w="6406"/>
            <w:tcMar>
              <w:top w:w="120" w:type="dxa"/>
              <w:start w:w="140" w:type="dxa"/>
              <w:bottom w:w="120" w:type="dxa"/>
              <w:end w:w="140" w:type="dxa"/>
            </w:tcMar>
            <w:vAlign w:val="center"/>
          </w:tcPr>
          <w:p>
            <w:pPr>
              <w:spacing w:after="0"/>
            </w:pPr>
            <w:r>
              <w:rPr>
                <w:sz w:val="18"/>
              </w:rPr>
              <w:t>A. Share . Sons Limited</w:t>
            </w:r>
          </w:p>
        </w:tc>
      </w:tr>
      <w:tr>
        <w:tc>
          <w:tcPr>
            <w:tcW w:type="dxa" w:w="2438"/>
            <w:shd w:fill="F8FAFC"/>
            <w:tcMar>
              <w:top w:w="120" w:type="dxa"/>
              <w:start w:w="140" w:type="dxa"/>
              <w:bottom w:w="120" w:type="dxa"/>
              <w:end w:w="140" w:type="dxa"/>
            </w:tcMar>
            <w:vAlign w:val="center"/>
          </w:tcPr>
          <w:p>
            <w:pPr>
              <w:spacing w:after="0"/>
            </w:pPr>
            <w:r>
              <w:rPr>
                <w:sz w:val="18"/>
              </w:rPr>
              <w:t>Mapped debtor</w:t>
            </w:r>
          </w:p>
        </w:tc>
        <w:tc>
          <w:tcPr>
            <w:tcW w:type="dxa" w:w="6406"/>
            <w:shd w:fill="F8FAFC"/>
            <w:tcMar>
              <w:top w:w="120" w:type="dxa"/>
              <w:start w:w="140" w:type="dxa"/>
              <w:bottom w:w="120" w:type="dxa"/>
              <w:end w:w="140" w:type="dxa"/>
            </w:tcMar>
            <w:vAlign w:val="center"/>
          </w:tcPr>
          <w:p>
            <w:pPr>
              <w:spacing w:after="0"/>
            </w:pPr>
            <w:r>
              <w:rPr>
                <w:sz w:val="18"/>
              </w:rPr>
              <w:t>A SHARE &amp; SONS T/A SCS</w:t>
            </w:r>
          </w:p>
        </w:tc>
      </w:tr>
      <w:tr>
        <w:tc>
          <w:tcPr>
            <w:tcW w:type="dxa" w:w="2438"/>
            <w:tcMar>
              <w:top w:w="120" w:type="dxa"/>
              <w:start w:w="140" w:type="dxa"/>
              <w:bottom w:w="120" w:type="dxa"/>
              <w:end w:w="140" w:type="dxa"/>
            </w:tcMar>
            <w:vAlign w:val="center"/>
          </w:tcPr>
          <w:p>
            <w:pPr>
              <w:spacing w:after="0"/>
            </w:pPr>
            <w:r>
              <w:rPr>
                <w:sz w:val="18"/>
              </w:rPr>
              <w:t>Example narrative</w:t>
            </w:r>
          </w:p>
        </w:tc>
        <w:tc>
          <w:tcPr>
            <w:tcW w:type="dxa" w:w="6406"/>
            <w:tcMar>
              <w:top w:w="120" w:type="dxa"/>
              <w:start w:w="140" w:type="dxa"/>
              <w:bottom w:w="120" w:type="dxa"/>
              <w:end w:w="140" w:type="dxa"/>
            </w:tcMar>
            <w:vAlign w:val="center"/>
          </w:tcPr>
          <w:p>
            <w:pPr>
              <w:spacing w:after="0"/>
            </w:pPr>
            <w:r>
              <w:rPr>
                <w:sz w:val="18"/>
              </w:rPr>
              <w:t>A. Share . Sons Limited/EREF/1155126087/UETR/…</w:t>
            </w:r>
          </w:p>
        </w:tc>
      </w:tr>
      <w:tr>
        <w:tc>
          <w:tcPr>
            <w:tcW w:type="dxa" w:w="2438"/>
            <w:shd w:fill="F8FAFC"/>
            <w:tcMar>
              <w:top w:w="120" w:type="dxa"/>
              <w:start w:w="140" w:type="dxa"/>
              <w:bottom w:w="120" w:type="dxa"/>
              <w:end w:w="140" w:type="dxa"/>
            </w:tcMar>
            <w:vAlign w:val="center"/>
          </w:tcPr>
          <w:p>
            <w:pPr>
              <w:spacing w:after="0"/>
            </w:pPr>
            <w:r>
              <w:rPr>
                <w:sz w:val="18"/>
              </w:rPr>
              <w:t>Expected result</w:t>
            </w:r>
          </w:p>
        </w:tc>
        <w:tc>
          <w:tcPr>
            <w:tcW w:type="dxa" w:w="6406"/>
            <w:shd w:fill="F8FAFC"/>
            <w:tcMar>
              <w:top w:w="120" w:type="dxa"/>
              <w:start w:w="140" w:type="dxa"/>
              <w:bottom w:w="120" w:type="dxa"/>
              <w:end w:w="140" w:type="dxa"/>
            </w:tcMar>
            <w:vAlign w:val="center"/>
          </w:tcPr>
          <w:p>
            <w:pPr>
              <w:spacing w:after="0"/>
            </w:pPr>
            <w:r>
              <w:rPr>
                <w:sz w:val="18"/>
              </w:rPr>
              <w:t>Client mapping selected regardless of changing EREF/UETR suffix</w:t>
            </w:r>
          </w:p>
        </w:tc>
      </w:tr>
    </w:tbl>
    <w:p>
      <w:r>
        <w:t>The check covers both imported reference/narrative and payer/remitter fields. This is necessary because the supplied A. Share records place the stable narrative in Bank Payer while Bank Reference contains a changing C3 transaction identifier.</w:t>
      </w:r>
    </w:p>
    <w:p>
      <w:pPr>
        <w:pStyle w:val="Heading1"/>
        <w:keepNext/>
      </w:pPr>
      <w:r>
        <w:t>5. Financial safeguards and expected outcomes</w:t>
      </w:r>
    </w:p>
    <w:p>
      <w:r>
        <w:t>Automatic FIFO remains subject to the platform’s normal finance controls:</w:t>
      </w:r>
    </w:p>
    <w:p>
      <w:pPr>
        <w:pStyle w:val="ListBullet"/>
        <w:spacing w:after="80"/>
      </w:pPr>
      <w:r>
        <w:t>FIFO uses the debtor’s oldest positive open invoice balances.</w:t>
      </w:r>
    </w:p>
    <w:p>
      <w:pPr>
        <w:pStyle w:val="ListBullet"/>
        <w:spacing w:after="80"/>
      </w:pPr>
      <w:r>
        <w:t>Payments are never padded with unrelated invoices to make an amount balance.</w:t>
      </w:r>
    </w:p>
    <w:p>
      <w:pPr>
        <w:pStyle w:val="ListBullet"/>
        <w:spacing w:after="80"/>
      </w:pPr>
      <w:r>
        <w:t>Overpayments retain an explicit unallocated balance and generate exception activity.</w:t>
      </w:r>
    </w:p>
    <w:p>
      <w:pPr>
        <w:pStyle w:val="ListBullet"/>
        <w:spacing w:after="80"/>
      </w:pPr>
      <w:r>
        <w:t>Partially settled invoices retain their remaining balance and are reported as underpayments.</w:t>
      </w:r>
    </w:p>
    <w:p>
      <w:pPr>
        <w:pStyle w:val="ListBullet"/>
        <w:spacing w:after="80"/>
      </w:pPr>
      <w:r>
        <w:t>If the mapped debtor has no open balance, the payment remains unmatched rather than being forced through.</w:t>
      </w:r>
    </w:p>
    <w:p>
      <w:pPr>
        <w:pStyle w:val="ListBullet"/>
        <w:spacing w:after="80"/>
      </w:pPr>
      <w:r>
        <w:t>Duplicate-payment and other exception checks continue to run after allocation.</w:t>
      </w:r>
    </w:p>
    <w:p>
      <w:pPr>
        <w:pStyle w:val="ListBullet"/>
        <w:spacing w:after="80"/>
      </w:pPr>
      <w:r>
        <w:t>Historical runs retain their original mapping snapshot and results for auditability.</w:t>
      </w:r>
    </w:p>
    <w:p>
      <w:pPr>
        <w:pStyle w:val="Heading2"/>
      </w:pPr>
      <w:r>
        <w:t>Expected Shackletons result in the next run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669"/>
            <w:shd w:fill="0F172A"/>
            <w:vAlign w:val="center"/>
            <w:tcMar>
              <w:top w:w="120" w:type="dxa"/>
              <w:start w:w="140" w:type="dxa"/>
              <w:bottom w:w="120" w:type="dxa"/>
              <w:end w:w="140" w:type="dxa"/>
            </w:tcMar>
          </w:tcPr>
          <w:p>
            <w:pPr>
              <w:spacing w:after="0"/>
            </w:pPr>
            <w:r>
              <w:rPr>
                <w:b/>
                <w:color w:val="FFFFFF"/>
                <w:sz w:val="18"/>
              </w:rPr>
              <w:t>Measure</w:t>
            </w:r>
          </w:p>
        </w:tc>
        <w:tc>
          <w:tcPr>
            <w:tcW w:type="dxa" w:w="3175"/>
            <w:shd w:fill="0F172A"/>
            <w:vAlign w:val="center"/>
            <w:tcMar>
              <w:top w:w="120" w:type="dxa"/>
              <w:start w:w="140" w:type="dxa"/>
              <w:bottom w:w="120" w:type="dxa"/>
              <w:end w:w="140" w:type="dxa"/>
            </w:tcMar>
          </w:tcPr>
          <w:p>
            <w:pPr>
              <w:spacing w:after="0"/>
            </w:pPr>
            <w:r>
              <w:rPr>
                <w:b/>
                <w:color w:val="FFFFFF"/>
                <w:sz w:val="18"/>
              </w:rPr>
              <w:t>Amount</w:t>
            </w:r>
          </w:p>
        </w:tc>
      </w:tr>
      <w:tr>
        <w:tc>
          <w:tcPr>
            <w:tcW w:type="dxa" w:w="5669"/>
            <w:tcMar>
              <w:top w:w="120" w:type="dxa"/>
              <w:start w:w="140" w:type="dxa"/>
              <w:bottom w:w="120" w:type="dxa"/>
              <w:end w:w="140" w:type="dxa"/>
            </w:tcMar>
            <w:vAlign w:val="center"/>
          </w:tcPr>
          <w:p>
            <w:pPr>
              <w:spacing w:after="0"/>
            </w:pPr>
            <w:r>
              <w:rPr>
                <w:sz w:val="18"/>
              </w:rPr>
              <w:t>Total mapped payments in supplied workbook</w:t>
            </w:r>
          </w:p>
        </w:tc>
        <w:tc>
          <w:tcPr>
            <w:tcW w:type="dxa" w:w="3175"/>
            <w:tcMar>
              <w:top w:w="120" w:type="dxa"/>
              <w:start w:w="140" w:type="dxa"/>
              <w:bottom w:w="120" w:type="dxa"/>
              <w:end w:w="140" w:type="dxa"/>
            </w:tcMar>
            <w:vAlign w:val="center"/>
          </w:tcPr>
          <w:p>
            <w:pPr>
              <w:spacing w:after="0"/>
            </w:pPr>
            <w:r>
              <w:rPr>
                <w:sz w:val="18"/>
              </w:rPr>
              <w:t>£117,041.96</w:t>
            </w:r>
          </w:p>
        </w:tc>
      </w:tr>
      <w:tr>
        <w:tc>
          <w:tcPr>
            <w:tcW w:type="dxa" w:w="5669"/>
            <w:shd w:fill="F8FAFC"/>
            <w:tcMar>
              <w:top w:w="120" w:type="dxa"/>
              <w:start w:w="140" w:type="dxa"/>
              <w:bottom w:w="120" w:type="dxa"/>
              <w:end w:w="140" w:type="dxa"/>
            </w:tcMar>
            <w:vAlign w:val="center"/>
          </w:tcPr>
          <w:p>
            <w:pPr>
              <w:spacing w:after="0"/>
            </w:pPr>
            <w:r>
              <w:rPr>
                <w:sz w:val="18"/>
              </w:rPr>
              <w:t>Positive open Shackletons invoice balance</w:t>
            </w:r>
          </w:p>
        </w:tc>
        <w:tc>
          <w:tcPr>
            <w:tcW w:type="dxa" w:w="3175"/>
            <w:shd w:fill="F8FAFC"/>
            <w:tcMar>
              <w:top w:w="120" w:type="dxa"/>
              <w:start w:w="140" w:type="dxa"/>
              <w:bottom w:w="120" w:type="dxa"/>
              <w:end w:w="140" w:type="dxa"/>
            </w:tcMar>
            <w:vAlign w:val="center"/>
          </w:tcPr>
          <w:p>
            <w:pPr>
              <w:spacing w:after="0"/>
            </w:pPr>
            <w:r>
              <w:rPr>
                <w:sz w:val="18"/>
              </w:rPr>
              <w:t>£66,025.44</w:t>
            </w:r>
          </w:p>
        </w:tc>
      </w:tr>
      <w:tr>
        <w:tc>
          <w:tcPr>
            <w:tcW w:type="dxa" w:w="5669"/>
            <w:tcMar>
              <w:top w:w="120" w:type="dxa"/>
              <w:start w:w="140" w:type="dxa"/>
              <w:bottom w:w="120" w:type="dxa"/>
              <w:end w:w="140" w:type="dxa"/>
            </w:tcMar>
            <w:vAlign w:val="center"/>
          </w:tcPr>
          <w:p>
            <w:pPr>
              <w:spacing w:after="0"/>
            </w:pPr>
            <w:r>
              <w:rPr>
                <w:sz w:val="18"/>
              </w:rPr>
              <w:t>Maximum possible FIFO allocation</w:t>
            </w:r>
          </w:p>
        </w:tc>
        <w:tc>
          <w:tcPr>
            <w:tcW w:type="dxa" w:w="3175"/>
            <w:tcMar>
              <w:top w:w="120" w:type="dxa"/>
              <w:start w:w="140" w:type="dxa"/>
              <w:bottom w:w="120" w:type="dxa"/>
              <w:end w:w="140" w:type="dxa"/>
            </w:tcMar>
            <w:vAlign w:val="center"/>
          </w:tcPr>
          <w:p>
            <w:pPr>
              <w:spacing w:after="0"/>
            </w:pPr>
            <w:r>
              <w:rPr>
                <w:sz w:val="18"/>
              </w:rPr>
              <w:t>£66,025.44</w:t>
            </w:r>
          </w:p>
        </w:tc>
      </w:tr>
      <w:tr>
        <w:tc>
          <w:tcPr>
            <w:tcW w:type="dxa" w:w="5669"/>
            <w:shd w:fill="F8FAFC"/>
            <w:tcMar>
              <w:top w:w="120" w:type="dxa"/>
              <w:start w:w="140" w:type="dxa"/>
              <w:bottom w:w="120" w:type="dxa"/>
              <w:end w:w="140" w:type="dxa"/>
            </w:tcMar>
            <w:vAlign w:val="center"/>
          </w:tcPr>
          <w:p>
            <w:pPr>
              <w:spacing w:after="0"/>
            </w:pPr>
            <w:r>
              <w:rPr>
                <w:sz w:val="18"/>
              </w:rPr>
              <w:t>Balance without available positive invoices</w:t>
            </w:r>
          </w:p>
        </w:tc>
        <w:tc>
          <w:tcPr>
            <w:tcW w:type="dxa" w:w="3175"/>
            <w:shd w:fill="F8FAFC"/>
            <w:tcMar>
              <w:top w:w="120" w:type="dxa"/>
              <w:start w:w="140" w:type="dxa"/>
              <w:bottom w:w="120" w:type="dxa"/>
              <w:end w:w="140" w:type="dxa"/>
            </w:tcMar>
            <w:vAlign w:val="center"/>
          </w:tcPr>
          <w:p>
            <w:pPr>
              <w:spacing w:after="0"/>
            </w:pPr>
            <w:r>
              <w:rPr>
                <w:sz w:val="18"/>
              </w:rPr>
              <w:t>£51,016.52</w:t>
            </w:r>
          </w:p>
        </w:tc>
      </w:tr>
    </w:tbl>
    <w:tbl>
      <w:tblPr>
        <w:tblW w:type="auto" w:w="0"/>
        <w:jc w:val="center"/>
        <w:tblLayout w:type="autofit"/>
        <w:tblLook w:firstColumn="1" w:firstRow="1" w:lastColumn="0" w:lastRow="0" w:noHBand="0" w:noVBand="1" w:val="04A0"/>
      </w:tblPr>
      <w:tblGrid>
        <w:gridCol w:w="9638"/>
      </w:tblGrid>
      <w:tr>
        <w:tc>
          <w:tcPr>
            <w:tcW w:type="dxa" w:w="9638"/>
            <w:shd w:fill="FFFBEB"/>
            <w:tcMar>
              <w:top w:w="180" w:type="dxa"/>
              <w:start w:w="220" w:type="dxa"/>
              <w:bottom w:w="180" w:type="dxa"/>
              <w:end w:w="220" w:type="dxa"/>
            </w:tcMar>
          </w:tcPr>
          <w:p>
            <w:pPr>
              <w:spacing w:after="100"/>
            </w:pPr>
            <w:r>
              <w:rPr>
                <w:b/>
                <w:color w:val="B45309"/>
              </w:rPr>
              <w:t>Expected safeguard behavior</w:t>
            </w:r>
          </w:p>
          <w:p>
            <w:pPr>
              <w:spacing w:after="0"/>
            </w:pPr>
            <w:r>
              <w:t>Not every Shackletons payment can become a full match with the supplied invoice population. Once the £66,025.44 positive open balance is exhausted, the remaining £51,016.52 should be represented through overpayment or unmatched exceptions. This is expected and prevents allocation to unrelated debtors or closed balances.</w:t>
            </w:r>
          </w:p>
        </w:tc>
      </w:tr>
    </w:tbl>
    <w:p>
      <w:pPr>
        <w:pStyle w:val="Heading1"/>
        <w:keepNext/>
      </w:pPr>
      <w:r>
        <w:t>6. Performance improvements</w:t>
      </w:r>
    </w:p>
    <w:p>
      <w:pPr>
        <w:pStyle w:val="Heading2"/>
      </w:pPr>
      <w:r>
        <w:t>Allocation processing</w:t>
      </w:r>
    </w:p>
    <w:p>
      <w:r>
        <w:t>Active mappings and their normalized source/debtor values are now prepared once per run. Invoices are grouped by normalized debtor and placed in FIFO order once, eliminating repeated full-list scans and repeated sorting for every mapped payment.</w:t>
      </w:r>
    </w:p>
    <w:p>
      <w:pPr>
        <w:pStyle w:val="Heading2"/>
      </w:pPr>
      <w:r>
        <w:t>General navigation</w:t>
      </w:r>
    </w:p>
    <w:p>
      <w:r>
        <w:t>The application shell now requests a compact notification feed rather than repeatedly downloading the full allocation list and up to 1,000 audit records. Polling is less frequent, no longer restarts on every route change, and refreshes when the browser becomes active again.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535"/>
            <w:shd w:fill="0F172A"/>
            <w:vAlign w:val="center"/>
            <w:tcMar>
              <w:top w:w="120" w:type="dxa"/>
              <w:start w:w="140" w:type="dxa"/>
              <w:bottom w:w="120" w:type="dxa"/>
              <w:end w:w="140" w:type="dxa"/>
            </w:tcMar>
          </w:tcPr>
          <w:p>
            <w:pPr>
              <w:spacing w:after="0"/>
            </w:pPr>
            <w:r>
              <w:rPr>
                <w:b/>
                <w:color w:val="FFFFFF"/>
                <w:sz w:val="18"/>
              </w:rPr>
              <w:t>Local benchmark</w:t>
            </w:r>
          </w:p>
        </w:tc>
        <w:tc>
          <w:tcPr>
            <w:tcW w:type="dxa" w:w="4309"/>
            <w:shd w:fill="0F172A"/>
            <w:vAlign w:val="center"/>
            <w:tcMar>
              <w:top w:w="120" w:type="dxa"/>
              <w:start w:w="140" w:type="dxa"/>
              <w:bottom w:w="120" w:type="dxa"/>
              <w:end w:w="140" w:type="dxa"/>
            </w:tcMar>
          </w:tcPr>
          <w:p>
            <w:pPr>
              <w:spacing w:after="0"/>
            </w:pPr>
            <w:r>
              <w:rPr>
                <w:b/>
                <w:color w:val="FFFFFF"/>
                <w:sz w:val="18"/>
              </w:rPr>
              <w:t>Result</w:t>
            </w:r>
          </w:p>
        </w:tc>
      </w:tr>
      <w:tr>
        <w:tc>
          <w:tcPr>
            <w:tcW w:type="dxa" w:w="4535"/>
            <w:tcMar>
              <w:top w:w="120" w:type="dxa"/>
              <w:start w:w="140" w:type="dxa"/>
              <w:bottom w:w="120" w:type="dxa"/>
              <w:end w:w="140" w:type="dxa"/>
            </w:tcMar>
            <w:vAlign w:val="center"/>
          </w:tcPr>
          <w:p>
            <w:pPr>
              <w:spacing w:after="0"/>
            </w:pPr>
            <w:r>
              <w:rPr>
                <w:sz w:val="18"/>
              </w:rPr>
              <w:t>Mapped bank transactions</w:t>
            </w:r>
          </w:p>
        </w:tc>
        <w:tc>
          <w:tcPr>
            <w:tcW w:type="dxa" w:w="4309"/>
            <w:tcMar>
              <w:top w:w="120" w:type="dxa"/>
              <w:start w:w="140" w:type="dxa"/>
              <w:bottom w:w="120" w:type="dxa"/>
              <w:end w:w="140" w:type="dxa"/>
            </w:tcMar>
            <w:vAlign w:val="center"/>
          </w:tcPr>
          <w:p>
            <w:pPr>
              <w:spacing w:after="0"/>
            </w:pPr>
            <w:r>
              <w:rPr>
                <w:sz w:val="18"/>
              </w:rPr>
              <w:t>800</w:t>
            </w:r>
          </w:p>
        </w:tc>
      </w:tr>
      <w:tr>
        <w:tc>
          <w:tcPr>
            <w:tcW w:type="dxa" w:w="4535"/>
            <w:shd w:fill="F8FAFC"/>
            <w:tcMar>
              <w:top w:w="120" w:type="dxa"/>
              <w:start w:w="140" w:type="dxa"/>
              <w:bottom w:w="120" w:type="dxa"/>
              <w:end w:w="140" w:type="dxa"/>
            </w:tcMar>
            <w:vAlign w:val="center"/>
          </w:tcPr>
          <w:p>
            <w:pPr>
              <w:spacing w:after="0"/>
            </w:pPr>
            <w:r>
              <w:rPr>
                <w:sz w:val="18"/>
              </w:rPr>
              <w:t>Invoices</w:t>
            </w:r>
          </w:p>
        </w:tc>
        <w:tc>
          <w:tcPr>
            <w:tcW w:type="dxa" w:w="4309"/>
            <w:shd w:fill="F8FAFC"/>
            <w:tcMar>
              <w:top w:w="120" w:type="dxa"/>
              <w:start w:w="140" w:type="dxa"/>
              <w:bottom w:w="120" w:type="dxa"/>
              <w:end w:w="140" w:type="dxa"/>
            </w:tcMar>
            <w:vAlign w:val="center"/>
          </w:tcPr>
          <w:p>
            <w:pPr>
              <w:spacing w:after="0"/>
            </w:pPr>
            <w:r>
              <w:rPr>
                <w:sz w:val="18"/>
              </w:rPr>
              <w:t>29,000</w:t>
            </w:r>
          </w:p>
        </w:tc>
      </w:tr>
      <w:tr>
        <w:tc>
          <w:tcPr>
            <w:tcW w:type="dxa" w:w="4535"/>
            <w:tcMar>
              <w:top w:w="120" w:type="dxa"/>
              <w:start w:w="140" w:type="dxa"/>
              <w:bottom w:w="120" w:type="dxa"/>
              <w:end w:w="140" w:type="dxa"/>
            </w:tcMar>
            <w:vAlign w:val="center"/>
          </w:tcPr>
          <w:p>
            <w:pPr>
              <w:spacing w:after="0"/>
            </w:pPr>
            <w:r>
              <w:rPr>
                <w:sz w:val="18"/>
              </w:rPr>
              <w:t>Matching stage</w:t>
            </w:r>
          </w:p>
        </w:tc>
        <w:tc>
          <w:tcPr>
            <w:tcW w:type="dxa" w:w="4309"/>
            <w:tcMar>
              <w:top w:w="120" w:type="dxa"/>
              <w:start w:w="140" w:type="dxa"/>
              <w:bottom w:w="120" w:type="dxa"/>
              <w:end w:w="140" w:type="dxa"/>
            </w:tcMar>
            <w:vAlign w:val="center"/>
          </w:tcPr>
          <w:p>
            <w:pPr>
              <w:spacing w:after="0"/>
            </w:pPr>
            <w:r>
              <w:rPr>
                <w:sz w:val="18"/>
              </w:rPr>
              <w:t>Approximately 1.2 seconds</w:t>
            </w:r>
          </w:p>
        </w:tc>
      </w:tr>
      <w:tr>
        <w:tc>
          <w:tcPr>
            <w:tcW w:type="dxa" w:w="4535"/>
            <w:shd w:fill="F8FAFC"/>
            <w:tcMar>
              <w:top w:w="120" w:type="dxa"/>
              <w:start w:w="140" w:type="dxa"/>
              <w:bottom w:w="120" w:type="dxa"/>
              <w:end w:w="140" w:type="dxa"/>
            </w:tcMar>
            <w:vAlign w:val="center"/>
          </w:tcPr>
          <w:p>
            <w:pPr>
              <w:spacing w:after="0"/>
            </w:pPr>
            <w:r>
              <w:rPr>
                <w:sz w:val="18"/>
              </w:rPr>
              <w:t>Outcome</w:t>
            </w:r>
          </w:p>
        </w:tc>
        <w:tc>
          <w:tcPr>
            <w:tcW w:type="dxa" w:w="4309"/>
            <w:shd w:fill="F8FAFC"/>
            <w:tcMar>
              <w:top w:w="120" w:type="dxa"/>
              <w:start w:w="140" w:type="dxa"/>
              <w:bottom w:w="120" w:type="dxa"/>
              <w:end w:w="140" w:type="dxa"/>
            </w:tcMar>
            <w:vAlign w:val="center"/>
          </w:tcPr>
          <w:p>
            <w:pPr>
              <w:spacing w:after="0"/>
            </w:pPr>
            <w:r>
              <w:rPr>
                <w:sz w:val="18"/>
              </w:rPr>
              <w:t>800 automatic matches; no suggestions</w:t>
            </w:r>
          </w:p>
        </w:tc>
      </w:tr>
    </w:tbl>
    <w:p>
      <w:r>
        <w:rPr>
          <w:i/>
          <w:color w:val="64748B"/>
        </w:rPr>
        <w:t>Benchmark scope: matching logic only. Upload, network and database timings depend on the deployment environment.</w:t>
      </w:r>
    </w:p>
    <w:p>
      <w:pPr>
        <w:pStyle w:val="Heading1"/>
        <w:keepNext/>
      </w:pPr>
      <w:r>
        <w:t>7. Laptop and smaller-screen layout</w:t>
      </w:r>
    </w:p>
    <w:p>
      <w:r>
        <w:t>The desktop shell now scales progressively instead of reserving the large-monitor sidebar width at every desktop breakpoint. The layout has been adjusted to keep navigation and account controls accessible on common laptop displays.</w:t>
      </w:r>
    </w:p>
    <w:p>
      <w:pPr>
        <w:pStyle w:val="ListBullet"/>
        <w:spacing w:after="80"/>
      </w:pPr>
      <w:r>
        <w:t>Sidebar width reduces at laptop and standard desktop breakpoints.</w:t>
      </w:r>
    </w:p>
    <w:p>
      <w:pPr>
        <w:pStyle w:val="ListBullet"/>
        <w:spacing w:after="80"/>
      </w:pPr>
      <w:r>
        <w:t>Main content padding contracts with the available width.</w:t>
      </w:r>
    </w:p>
    <w:p>
      <w:pPr>
        <w:pStyle w:val="ListBullet"/>
        <w:spacing w:after="80"/>
      </w:pPr>
      <w:r>
        <w:t>Search, notification and profile controls use a narrower responsive grid.</w:t>
      </w:r>
    </w:p>
    <w:p>
      <w:pPr>
        <w:pStyle w:val="ListBullet"/>
        <w:spacing w:after="80"/>
      </w:pPr>
      <w:r>
        <w:t>Short laptop displays use reduced navigation spacing and control heights.</w:t>
      </w:r>
    </w:p>
    <w:p>
      <w:pPr>
        <w:pStyle w:val="ListBullet"/>
        <w:spacing w:after="80"/>
      </w:pPr>
      <w:r>
        <w:t>The sidebar remains vertically scrollable as a final accessibility safeguard.</w:t>
      </w:r>
    </w:p>
    <w:p>
      <w:pPr>
        <w:pStyle w:val="ListBullet"/>
        <w:spacing w:after="80"/>
      </w:pPr>
      <w:r>
        <w:t>Mobile navigation behavior remains unchanged.</w:t>
      </w:r>
    </w:p>
    <w:p>
      <w:pPr>
        <w:pStyle w:val="Heading1"/>
        <w:keepNext/>
      </w:pPr>
      <w:r>
        <w:t>8. Verification and next test checklist</w:t>
      </w:r>
    </w:p>
    <w:p>
      <w:pPr>
        <w:pStyle w:val="Heading2"/>
      </w:pPr>
      <w:r>
        <w:t>Completed verification</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535"/>
            <w:shd w:fill="0F172A"/>
            <w:vAlign w:val="center"/>
            <w:tcMar>
              <w:top w:w="120" w:type="dxa"/>
              <w:start w:w="140" w:type="dxa"/>
              <w:bottom w:w="120" w:type="dxa"/>
              <w:end w:w="140" w:type="dxa"/>
            </w:tcMar>
          </w:tcPr>
          <w:p>
            <w:pPr>
              <w:spacing w:after="0"/>
            </w:pPr>
            <w:r>
              <w:rPr>
                <w:b/>
                <w:color w:val="FFFFFF"/>
                <w:sz w:val="18"/>
              </w:rPr>
              <w:t>Check</w:t>
            </w:r>
          </w:p>
        </w:tc>
        <w:tc>
          <w:tcPr>
            <w:tcW w:type="dxa" w:w="4309"/>
            <w:shd w:fill="0F172A"/>
            <w:vAlign w:val="center"/>
            <w:tcMar>
              <w:top w:w="120" w:type="dxa"/>
              <w:start w:w="140" w:type="dxa"/>
              <w:bottom w:w="120" w:type="dxa"/>
              <w:end w:w="140" w:type="dxa"/>
            </w:tcMar>
          </w:tcPr>
          <w:p>
            <w:pPr>
              <w:spacing w:after="0"/>
            </w:pPr>
            <w:r>
              <w:rPr>
                <w:b/>
                <w:color w:val="FFFFFF"/>
                <w:sz w:val="18"/>
              </w:rPr>
              <w:t>Result</w:t>
            </w:r>
          </w:p>
        </w:tc>
      </w:tr>
      <w:tr>
        <w:tc>
          <w:tcPr>
            <w:tcW w:type="dxa" w:w="4535"/>
            <w:tcMar>
              <w:top w:w="120" w:type="dxa"/>
              <w:start w:w="140" w:type="dxa"/>
              <w:bottom w:w="120" w:type="dxa"/>
              <w:end w:w="140" w:type="dxa"/>
            </w:tcMar>
            <w:vAlign w:val="center"/>
          </w:tcPr>
          <w:p>
            <w:pPr>
              <w:spacing w:after="0"/>
            </w:pPr>
            <w:r>
              <w:rPr>
                <w:sz w:val="18"/>
              </w:rPr>
              <w:t>Focused backend regression tests</w:t>
            </w:r>
          </w:p>
        </w:tc>
        <w:tc>
          <w:tcPr>
            <w:tcW w:type="dxa" w:w="4309"/>
            <w:tcMar>
              <w:top w:w="120" w:type="dxa"/>
              <w:start w:w="140" w:type="dxa"/>
              <w:bottom w:w="120" w:type="dxa"/>
              <w:end w:w="140" w:type="dxa"/>
            </w:tcMar>
            <w:vAlign w:val="center"/>
          </w:tcPr>
          <w:p>
            <w:pPr>
              <w:spacing w:after="0"/>
            </w:pPr>
            <w:r>
              <w:rPr>
                <w:sz w:val="18"/>
              </w:rPr>
              <w:t>27 passed</w:t>
            </w:r>
          </w:p>
        </w:tc>
      </w:tr>
      <w:tr>
        <w:tc>
          <w:tcPr>
            <w:tcW w:type="dxa" w:w="4535"/>
            <w:shd w:fill="F8FAFC"/>
            <w:tcMar>
              <w:top w:w="120" w:type="dxa"/>
              <w:start w:w="140" w:type="dxa"/>
              <w:bottom w:w="120" w:type="dxa"/>
              <w:end w:w="140" w:type="dxa"/>
            </w:tcMar>
            <w:vAlign w:val="center"/>
          </w:tcPr>
          <w:p>
            <w:pPr>
              <w:spacing w:after="0"/>
            </w:pPr>
            <w:r>
              <w:rPr>
                <w:sz w:val="18"/>
              </w:rPr>
              <w:t>MongoDB-dependent integration cases</w:t>
            </w:r>
          </w:p>
        </w:tc>
        <w:tc>
          <w:tcPr>
            <w:tcW w:type="dxa" w:w="4309"/>
            <w:shd w:fill="F8FAFC"/>
            <w:tcMar>
              <w:top w:w="120" w:type="dxa"/>
              <w:start w:w="140" w:type="dxa"/>
              <w:bottom w:w="120" w:type="dxa"/>
              <w:end w:w="140" w:type="dxa"/>
            </w:tcMar>
            <w:vAlign w:val="center"/>
          </w:tcPr>
          <w:p>
            <w:pPr>
              <w:spacing w:after="0"/>
            </w:pPr>
            <w:r>
              <w:rPr>
                <w:sz w:val="18"/>
              </w:rPr>
              <w:t>9 included; require a local MongoDB service</w:t>
            </w:r>
          </w:p>
        </w:tc>
      </w:tr>
      <w:tr>
        <w:tc>
          <w:tcPr>
            <w:tcW w:type="dxa" w:w="4535"/>
            <w:tcMar>
              <w:top w:w="120" w:type="dxa"/>
              <w:start w:w="140" w:type="dxa"/>
              <w:bottom w:w="120" w:type="dxa"/>
              <w:end w:w="140" w:type="dxa"/>
            </w:tcMar>
            <w:vAlign w:val="center"/>
          </w:tcPr>
          <w:p>
            <w:pPr>
              <w:spacing w:after="0"/>
            </w:pPr>
            <w:r>
              <w:rPr>
                <w:sz w:val="18"/>
              </w:rPr>
              <w:t>Frontend optimized production build</w:t>
            </w:r>
          </w:p>
        </w:tc>
        <w:tc>
          <w:tcPr>
            <w:tcW w:type="dxa" w:w="4309"/>
            <w:tcMar>
              <w:top w:w="120" w:type="dxa"/>
              <w:start w:w="140" w:type="dxa"/>
              <w:bottom w:w="120" w:type="dxa"/>
              <w:end w:w="140" w:type="dxa"/>
            </w:tcMar>
            <w:vAlign w:val="center"/>
          </w:tcPr>
          <w:p>
            <w:pPr>
              <w:spacing w:after="0"/>
            </w:pPr>
            <w:r>
              <w:rPr>
                <w:sz w:val="18"/>
              </w:rPr>
              <w:t>Passed</w:t>
            </w:r>
          </w:p>
        </w:tc>
      </w:tr>
      <w:tr>
        <w:tc>
          <w:tcPr>
            <w:tcW w:type="dxa" w:w="4535"/>
            <w:shd w:fill="F8FAFC"/>
            <w:tcMar>
              <w:top w:w="120" w:type="dxa"/>
              <w:start w:w="140" w:type="dxa"/>
              <w:bottom w:w="120" w:type="dxa"/>
              <w:end w:w="140" w:type="dxa"/>
            </w:tcMar>
            <w:vAlign w:val="center"/>
          </w:tcPr>
          <w:p>
            <w:pPr>
              <w:spacing w:after="0"/>
            </w:pPr>
            <w:r>
              <w:rPr>
                <w:sz w:val="18"/>
              </w:rPr>
              <w:t>Python syntax compilation</w:t>
            </w:r>
          </w:p>
        </w:tc>
        <w:tc>
          <w:tcPr>
            <w:tcW w:type="dxa" w:w="4309"/>
            <w:shd w:fill="F8FAFC"/>
            <w:tcMar>
              <w:top w:w="120" w:type="dxa"/>
              <w:start w:w="140" w:type="dxa"/>
              <w:bottom w:w="120" w:type="dxa"/>
              <w:end w:w="140" w:type="dxa"/>
            </w:tcMar>
            <w:vAlign w:val="center"/>
          </w:tcPr>
          <w:p>
            <w:pPr>
              <w:spacing w:after="0"/>
            </w:pPr>
            <w:r>
              <w:rPr>
                <w:sz w:val="18"/>
              </w:rPr>
              <w:t>Passed</w:t>
            </w:r>
          </w:p>
        </w:tc>
      </w:tr>
      <w:tr>
        <w:tc>
          <w:tcPr>
            <w:tcW w:type="dxa" w:w="4535"/>
            <w:tcMar>
              <w:top w:w="120" w:type="dxa"/>
              <w:start w:w="140" w:type="dxa"/>
              <w:bottom w:w="120" w:type="dxa"/>
              <w:end w:w="140" w:type="dxa"/>
            </w:tcMar>
            <w:vAlign w:val="center"/>
          </w:tcPr>
          <w:p>
            <w:pPr>
              <w:spacing w:after="0"/>
            </w:pPr>
            <w:r>
              <w:rPr>
                <w:sz w:val="18"/>
              </w:rPr>
              <w:t>Git whitespace/error check</w:t>
            </w:r>
          </w:p>
        </w:tc>
        <w:tc>
          <w:tcPr>
            <w:tcW w:type="dxa" w:w="4309"/>
            <w:tcMar>
              <w:top w:w="120" w:type="dxa"/>
              <w:start w:w="140" w:type="dxa"/>
              <w:bottom w:w="120" w:type="dxa"/>
              <w:end w:w="140" w:type="dxa"/>
            </w:tcMar>
            <w:vAlign w:val="center"/>
          </w:tcPr>
          <w:p>
            <w:pPr>
              <w:spacing w:after="0"/>
            </w:pPr>
            <w:r>
              <w:rPr>
                <w:sz w:val="18"/>
              </w:rPr>
              <w:t>Passed</w:t>
            </w:r>
          </w:p>
        </w:tc>
      </w:tr>
      <w:tr>
        <w:tc>
          <w:tcPr>
            <w:tcW w:type="dxa" w:w="4535"/>
            <w:shd w:fill="F8FAFC"/>
            <w:tcMar>
              <w:top w:w="120" w:type="dxa"/>
              <w:start w:w="140" w:type="dxa"/>
              <w:bottom w:w="120" w:type="dxa"/>
              <w:end w:w="140" w:type="dxa"/>
            </w:tcMar>
            <w:vAlign w:val="center"/>
          </w:tcPr>
          <w:p>
            <w:pPr>
              <w:spacing w:after="0"/>
            </w:pPr>
            <w:r>
              <w:rPr>
                <w:sz w:val="18"/>
              </w:rPr>
              <w:t>Test 14/Test 15 workbook comparison</w:t>
            </w:r>
          </w:p>
        </w:tc>
        <w:tc>
          <w:tcPr>
            <w:tcW w:type="dxa" w:w="4309"/>
            <w:shd w:fill="F8FAFC"/>
            <w:tcMar>
              <w:top w:w="120" w:type="dxa"/>
              <w:start w:w="140" w:type="dxa"/>
              <w:bottom w:w="120" w:type="dxa"/>
              <w:end w:w="140" w:type="dxa"/>
            </w:tcMar>
            <w:vAlign w:val="center"/>
          </w:tcPr>
          <w:p>
            <w:pPr>
              <w:spacing w:after="0"/>
            </w:pPr>
            <w:r>
              <w:rPr>
                <w:sz w:val="18"/>
              </w:rPr>
              <w:t>Completed</w:t>
            </w:r>
          </w:p>
        </w:tc>
      </w:tr>
    </w:tbl>
    <w:p>
      <w:pPr>
        <w:pStyle w:val="Heading2"/>
      </w:pPr>
      <w:r>
        <w:t>Recommended client retest</w:t>
      </w:r>
    </w:p>
    <w:p>
      <w:pPr>
        <w:pStyle w:val="ListNumber"/>
        <w:spacing w:after="100"/>
      </w:pPr>
      <w:r>
        <w:t>Review the two Shackletons mappings; set both to FIFO auto-allocation permitted or deactivate the redundant record.</w:t>
      </w:r>
    </w:p>
    <w:p>
      <w:pPr>
        <w:pStyle w:val="ListNumber"/>
        <w:spacing w:after="100"/>
      </w:pPr>
      <w:r>
        <w:t>Keep the A. Share reference variation active with source phrase “A. Share . Sons Limited” and debtor “A SHARE &amp; SONS T/A SCS”.</w:t>
      </w:r>
    </w:p>
    <w:p>
      <w:pPr>
        <w:pStyle w:val="ListNumber"/>
        <w:spacing w:after="100"/>
      </w:pPr>
      <w:r>
        <w:t>Create a new allocation run using the same representative bank and invoice files.</w:t>
      </w:r>
    </w:p>
    <w:p>
      <w:pPr>
        <w:pStyle w:val="ListNumber"/>
        <w:spacing w:after="100"/>
      </w:pPr>
      <w:r>
        <w:t>Confirm Shackletons rows record committed client-mapping allocations until the positive open balance is exhausted.</w:t>
      </w:r>
    </w:p>
    <w:p>
      <w:pPr>
        <w:pStyle w:val="ListNumber"/>
        <w:spacing w:after="100"/>
      </w:pPr>
      <w:r>
        <w:t>Confirm the remaining Shackletons amount is visible through overpayment/unmatched exception handling.</w:t>
      </w:r>
    </w:p>
    <w:p>
      <w:pPr>
        <w:pStyle w:val="ListNumber"/>
        <w:spacing w:after="100"/>
      </w:pPr>
      <w:r>
        <w:t>Confirm all six A. Share narratives show client-mapping evidence instead of 90% fuzzy evidence.</w:t>
      </w:r>
    </w:p>
    <w:p>
      <w:pPr>
        <w:pStyle w:val="ListNumber"/>
        <w:spacing w:after="100"/>
      </w:pPr>
      <w:r>
        <w:t>If A. Share remains on FIFO proposals, confirm the suggestions are mapping-assisted; if changed to FIFO auto-allocation, confirm committed balances.</w:t>
      </w:r>
    </w:p>
    <w:p>
      <w:pPr>
        <w:pStyle w:val="ListNumber"/>
        <w:spacing w:after="100"/>
      </w:pPr>
      <w:r>
        <w:t>Review allocation evidence, mapping IDs/versions, exception records and exported reports.</w:t>
      </w:r>
    </w:p>
    <w:p>
      <w:pPr>
        <w:pStyle w:val="ListNumber"/>
        <w:spacing w:after="100"/>
      </w:pPr>
      <w:r>
        <w:t>Check navigation, profile and logout accessibility at the client’s normal laptop resolution.</w:t>
      </w:r>
    </w:p>
    <w:p>
      <w:pPr>
        <w:pStyle w:val="ListNumber"/>
        <w:spacing w:after="100"/>
      </w:pPr>
      <w:r>
        <w:t>Record upload, processing and navigation timings for comparison with Test 15.</w:t>
      </w:r>
    </w:p>
    <w:p/>
    <w:tbl>
      <w:tblPr>
        <w:tblW w:type="auto" w:w="0"/>
        <w:jc w:val="center"/>
        <w:tblLayout w:type="autofit"/>
        <w:tblLook w:firstColumn="1" w:firstRow="1" w:lastColumn="0" w:lastRow="0" w:noHBand="0" w:noVBand="1" w:val="04A0"/>
      </w:tblPr>
      <w:tblGrid>
        <w:gridCol w:w="9638"/>
      </w:tblGrid>
      <w:tr>
        <w:tc>
          <w:tcPr>
            <w:tcW w:type="dxa" w:w="9638"/>
            <w:shd w:fill="ECFDF5"/>
            <w:tcMar>
              <w:top w:w="180" w:type="dxa"/>
              <w:start w:w="220" w:type="dxa"/>
              <w:bottom w:w="180" w:type="dxa"/>
              <w:end w:w="220" w:type="dxa"/>
            </w:tcMar>
          </w:tcPr>
          <w:p>
            <w:pPr>
              <w:spacing w:after="100"/>
            </w:pPr>
            <w:r>
              <w:rPr>
                <w:b/>
                <w:color w:val="059669"/>
              </w:rPr>
              <w:t>Implementation status</w:t>
            </w:r>
          </w:p>
          <w:p>
            <w:pPr>
              <w:spacing w:after="0"/>
            </w:pPr>
            <w:r>
              <w:t>The changes described in this document are complete and ready for the next client test cycle.</w:t>
            </w:r>
          </w:p>
        </w:tc>
      </w:tr>
    </w:tbl>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Client update • 7 October 2026                                      </w:t>
    </w:r>
    <w:r>
      <w:rPr>
        <w:color w:val="64748B"/>
        <w:sz w:val="16"/>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48B"/>
        <w:sz w:val="15"/>
      </w:rPr>
      <w:t>EB BUSINESS SOLUTIONS LIMITED  |  RECEIVABLES RECONCILIATION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Aptos Display" w:hAnsi="Aptos Display" w:eastAsia="Aptos Display"/>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ptos Display" w:hAnsi="Aptos Display" w:eastAsia="Aptos Display"/>
      <w:b/>
      <w:bCs/>
      <w:color w:val="05966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D4ED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15 Follow-Up – Receivables Reconciliation Platform</dc:title>
  <dc:subject>Client update covering mapping, FIFO allocation, performance and responsive layout</dc:subject>
  <dc:creator>EB Business Solutions Limited</dc:creator>
  <cp:keywords>Test 15, receivables reconciliation, FIFO, mappings, client update</cp:keywords>
  <dc:description>Client-facing document generated from verified implementation and workbook analysis.</dc:description>
  <cp:lastModifiedBy/>
  <cp:revision>1</cp:revision>
  <dcterms:created xsi:type="dcterms:W3CDTF">2013-12-23T23:15:00Z</dcterms:created>
  <dcterms:modified xsi:type="dcterms:W3CDTF">2013-12-23T23:15:00Z</dcterms:modified>
  <cp:category/>
</cp:coreProperties>
</file>