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600"/>
        <w:jc w:val="center"/>
      </w:pPr>
      <w:r>
        <w:rPr>
          <w:b/>
          <w:bCs/>
          <w:color w:val="0F5B4C"/>
          <w:sz w:val="44"/>
          <w:szCs w:val="44"/>
        </w:rPr>
        <w:t xml:space="preserve">TECHNICAL REPORT</w:t>
      </w:r>
    </w:p>
    <w:p>
      <w:pPr>
        <w:spacing w:after="200"/>
        <w:jc w:val="center"/>
      </w:pPr>
      <w:r>
        <w:rPr>
          <w:i/>
          <w:iCs/>
          <w:color w:val="595959"/>
          <w:sz w:val="26"/>
          <w:szCs w:val="26"/>
        </w:rPr>
        <w:t xml:space="preserve">Africa's Top 250 Companies: Market Value and Performance Analysis (2022)</w:t>
      </w:r>
    </w:p>
    <w:p>
      <w:pPr>
        <w:spacing w:after="60" w:before="400"/>
        <w:jc w:val="center"/>
      </w:pPr>
      <w:r>
        <w:rPr>
          <w:b/>
          <w:bCs/>
          <w:sz w:val="22"/>
          <w:szCs w:val="22"/>
        </w:rPr>
        <w:t xml:space="preserve">Vephla University Data Analytics Programme</w:t>
      </w:r>
    </w:p>
    <w:p>
      <w:pPr>
        <w:spacing w:after="400"/>
        <w:jc w:val="center"/>
      </w:pPr>
      <w:r>
        <w:rPr>
          <w:color w:val="595959"/>
          <w:sz w:val="20"/>
          <w:szCs w:val="20"/>
        </w:rPr>
        <w:t xml:space="preserve">Prepared by George Nzubechi Chibuikem | Student ID: VEPH/50B/DA079</w:t>
      </w:r>
    </w:p>
    <w:p>
      <w:r>
        <w:br w:type="page"/>
      </w:r>
    </w:p>
    <w:p>
      <w:pPr>
        <w:pStyle w:val="Heading1"/>
        <w:pBdr>
          <w:bottom w:val="single" w:color="0F5B4C" w:sz="6" w:space="4"/>
        </w:pBdr>
        <w:spacing w:after="160" w:before="360"/>
      </w:pPr>
      <w:r>
        <w:rPr>
          <w:b/>
          <w:bCs/>
          <w:color w:val="0F5B4C"/>
          <w:sz w:val="28"/>
          <w:szCs w:val="28"/>
        </w:rPr>
        <w:t xml:space="preserve">1. Outline</w:t>
      </w:r>
    </w:p>
    <w:p>
      <w:pPr>
        <w:spacing w:after="140" w:line="300"/>
      </w:pPr>
      <w:r>
        <w:rPr>
          <w:sz w:val="22"/>
          <w:szCs w:val="22"/>
        </w:rPr>
        <w:t xml:space="preserve">This report documents the full process of analysing Africa's top 250 companies by market capitalisation for 2022, using Microsoft Excel. It covers the objective of the project, the source and structure of the dataset, the data cleaning and preprocessing steps taken, the questions that guided the analysis, the core findings from the dashboard, and the recommendations that follow. The report closes with a conclusion on what the analysis showed overall, its limitations, and areas for further research.</w:t>
      </w:r>
    </w:p>
    <w:p>
      <w:pPr>
        <w:pStyle w:val="Heading1"/>
        <w:pBdr>
          <w:bottom w:val="single" w:color="0F5B4C" w:sz="6" w:space="4"/>
        </w:pBdr>
        <w:spacing w:after="160" w:before="360"/>
      </w:pPr>
      <w:r>
        <w:rPr>
          <w:b/>
          <w:bCs/>
          <w:color w:val="0F5B4C"/>
          <w:sz w:val="28"/>
          <w:szCs w:val="28"/>
        </w:rPr>
        <w:t xml:space="preserve">2. Introduction</w:t>
      </w:r>
    </w:p>
    <w:p>
      <w:pPr>
        <w:spacing w:after="140" w:line="300"/>
      </w:pPr>
      <w:r>
        <w:rPr>
          <w:sz w:val="22"/>
          <w:szCs w:val="22"/>
        </w:rPr>
        <w:t xml:space="preserve">The objective of this project was to analyse Africa's top 250 companies by market capitalisation for the year 2022 and build a dashboard that communicates where corporate value is concentrated, how profitable different sectors are, and how company valuations changed between 2021 and 2022.</w:t>
      </w:r>
    </w:p>
    <w:p>
      <w:pPr>
        <w:spacing w:after="140" w:line="300"/>
      </w:pPr>
      <w:r>
        <w:rPr>
          <w:sz w:val="22"/>
          <w:szCs w:val="22"/>
        </w:rPr>
        <w:t xml:space="preserve">The problem being addressed is that a raw ranked list of companies, on its own, does not reveal the underlying structure of a market. It does not show whether value is spread evenly or concentrated, whether the largest companies are also the most profitable, or which companies are gaining and losing ground. This project set out to convert that raw list into a structured, visual analysis that answers those questions directly.</w:t>
      </w:r>
    </w:p>
    <w:p>
      <w:pPr>
        <w:spacing w:after="140" w:line="300"/>
      </w:pPr>
      <w:r>
        <w:rPr>
          <w:sz w:val="22"/>
          <w:szCs w:val="22"/>
        </w:rPr>
        <w:t xml:space="preserve">The dataset used was Africa's Top 250 Companies 2022, sourced via Kaggle. The methodology used Microsoft Excel throughout, including pivot tables, slicers, calculated fields, and a filled map chart, to clean, structure, and visualise the data.</w:t>
      </w:r>
    </w:p>
    <w:p>
      <w:pPr>
        <w:pStyle w:val="Heading1"/>
        <w:pBdr>
          <w:bottom w:val="single" w:color="0F5B4C" w:sz="6" w:space="4"/>
        </w:pBdr>
        <w:spacing w:after="160" w:before="360"/>
      </w:pPr>
      <w:r>
        <w:rPr>
          <w:b/>
          <w:bCs/>
          <w:color w:val="0F5B4C"/>
          <w:sz w:val="28"/>
          <w:szCs w:val="28"/>
        </w:rPr>
        <w:t xml:space="preserve">3. Story of Data</w:t>
      </w:r>
    </w:p>
    <w:p>
      <w:pPr>
        <w:spacing w:after="140" w:line="300"/>
      </w:pPr>
      <w:r>
        <w:rPr>
          <w:sz w:val="22"/>
          <w:szCs w:val="22"/>
        </w:rPr>
        <w:t xml:space="preserve">The dataset was sourced from Kaggle and lists the 250 largest African companies by market capitalisation as of 2022, along with their market capitalisation for the prior year (2021), revenue, net income, ranking position for both years, country, and sector.</w:t>
      </w:r>
    </w:p>
    <w:p>
      <w:pPr>
        <w:spacing w:after="140" w:line="300"/>
      </w:pPr>
      <w:r>
        <w:rPr>
          <w:sz w:val="22"/>
          <w:szCs w:val="22"/>
        </w:rPr>
        <w:t xml:space="preserve">The dataset covers 250 companies spread across 16 countries and 11 sectors. Important structural features include a significant imbalance in country representation, with South Africa alone accounting for 101 of the 250 companies (40 percent of the list), and an imbalance in sector representation, with Finance (90 companies) and Consumer Non-Cyclicals (54 companies) heavily represented compared to sectors like Technology and Utilities, which have only 2 companies each.</w:t>
      </w:r>
    </w:p>
    <w:p>
      <w:pPr>
        <w:spacing w:after="140" w:line="300"/>
      </w:pPr>
      <w:r>
        <w:rPr>
          <w:sz w:val="22"/>
          <w:szCs w:val="22"/>
        </w:rPr>
        <w:t xml:space="preserve">Limitations identified in the dataset include missing values in three financial columns (Market Cap 2021, Revenue, and Net Income), a data entry issue in the Net Income column where 15 cells contained a stray character in place of what was most likely a negative figure, and coverage limited to 16 of Africa's 54 countries. These limitations are addressed in detail in Section 4 and are factored into how the findings in this report should be interpreted.</w:t>
      </w:r>
    </w:p>
    <w:p>
      <w:pPr>
        <w:pStyle w:val="Heading1"/>
        <w:pBdr>
          <w:bottom w:val="single" w:color="0F5B4C" w:sz="6" w:space="4"/>
        </w:pBdr>
        <w:spacing w:after="160" w:before="360"/>
      </w:pPr>
      <w:r>
        <w:rPr>
          <w:b/>
          <w:bCs/>
          <w:color w:val="0F5B4C"/>
          <w:sz w:val="28"/>
          <w:szCs w:val="28"/>
        </w:rPr>
        <w:t xml:space="preserve">4. Data Splitting and Preprocessing</w:t>
      </w:r>
    </w:p>
    <w:p>
      <w:pPr>
        <w:pStyle w:val="Heading2"/>
        <w:spacing w:after="100" w:before="220"/>
      </w:pPr>
      <w:r>
        <w:rPr>
          <w:b/>
          <w:bCs/>
          <w:color w:val="0F5B4C"/>
          <w:sz w:val="23"/>
          <w:szCs w:val="23"/>
        </w:rPr>
        <w:t xml:space="preserve">Cleaning steps</w:t>
      </w:r>
    </w:p>
    <w:p>
      <w:pPr>
        <w:pStyle w:val="ListParagraph"/>
        <w:numPr>
          <w:ilvl w:val="0"/>
          <w:numId w:val="2"/>
        </w:numPr>
        <w:spacing w:after="80" w:line="280"/>
      </w:pPr>
      <w:r>
        <w:rPr>
          <w:sz w:val="22"/>
          <w:szCs w:val="22"/>
        </w:rPr>
        <w:t xml:space="preserve">Market cap, revenue, and net income figures were stored as text with comma separators and were converted to numeric values before any calculation or chart could use them.</w:t>
      </w:r>
    </w:p>
    <w:p>
      <w:pPr>
        <w:pStyle w:val="ListParagraph"/>
        <w:numPr>
          <w:ilvl w:val="0"/>
          <w:numId w:val="2"/>
        </w:numPr>
        <w:spacing w:after="80" w:line="280"/>
      </w:pPr>
      <w:r>
        <w:rPr>
          <w:sz w:val="22"/>
          <w:szCs w:val="22"/>
        </w:rPr>
        <w:t xml:space="preserve">Fifteen cells in the Net Income column contained a stray question mark character. Based on financial reporting convention and the absence of any other negative net income figures in the dataset, these were interpreted as intended negative values and converted accordingly, with the assumption flagged rather than treated as fact.</w:t>
      </w:r>
    </w:p>
    <w:p>
      <w:pPr>
        <w:pStyle w:val="ListParagraph"/>
        <w:numPr>
          <w:ilvl w:val="0"/>
          <w:numId w:val="2"/>
        </w:numPr>
        <w:spacing w:after="80" w:line="280"/>
      </w:pPr>
      <w:r>
        <w:rPr>
          <w:sz w:val="22"/>
          <w:szCs w:val="22"/>
        </w:rPr>
        <w:t xml:space="preserve">The 2021 Ranking column contained the text "new" (and one likely typo, "bew") for companies not present in the 2021 list. These were recoded into a separate New Entrant flag rather than forced into a numeric rank.</w:t>
      </w:r>
    </w:p>
    <w:p>
      <w:pPr>
        <w:pStyle w:val="Heading2"/>
        <w:spacing w:after="100" w:before="220"/>
      </w:pPr>
      <w:r>
        <w:rPr>
          <w:b/>
          <w:bCs/>
          <w:color w:val="0F5B4C"/>
          <w:sz w:val="23"/>
          <w:szCs w:val="23"/>
        </w:rPr>
        <w:t xml:space="preserve">Missing value handling</w:t>
      </w:r>
    </w:p>
    <w:p>
      <w:pPr>
        <w:pStyle w:val="ListParagraph"/>
        <w:numPr>
          <w:ilvl w:val="0"/>
          <w:numId w:val="2"/>
        </w:numPr>
        <w:spacing w:after="80" w:line="280"/>
      </w:pPr>
      <w:r>
        <w:rPr>
          <w:sz w:val="22"/>
          <w:szCs w:val="22"/>
        </w:rPr>
        <w:t xml:space="preserve">Market Cap 2021 was missing for 8 companies, Revenue for 6 companies, and Net Income for 13 companies.</w:t>
      </w:r>
    </w:p>
    <w:p>
      <w:pPr>
        <w:pStyle w:val="ListParagraph"/>
        <w:numPr>
          <w:ilvl w:val="0"/>
          <w:numId w:val="2"/>
        </w:numPr>
        <w:spacing w:after="80" w:line="280"/>
      </w:pPr>
      <w:r>
        <w:rPr>
          <w:sz w:val="22"/>
          <w:szCs w:val="22"/>
        </w:rPr>
        <w:t xml:space="preserve">Missing cells were left blank rather than filled with zero, so that Excel's SUM and AVERAGE functions would correctly exclude them from totals and averages instead of understating affected companies.</w:t>
      </w:r>
    </w:p>
    <w:p>
      <w:pPr>
        <w:pStyle w:val="Heading2"/>
        <w:spacing w:after="100" w:before="220"/>
      </w:pPr>
      <w:r>
        <w:rPr>
          <w:b/>
          <w:bCs/>
          <w:color w:val="0F5B4C"/>
          <w:sz w:val="23"/>
          <w:szCs w:val="23"/>
        </w:rPr>
        <w:t xml:space="preserve">Transformations</w:t>
      </w:r>
    </w:p>
    <w:p>
      <w:pPr>
        <w:pStyle w:val="ListParagraph"/>
        <w:numPr>
          <w:ilvl w:val="0"/>
          <w:numId w:val="2"/>
        </w:numPr>
        <w:spacing w:after="80" w:line="280"/>
      </w:pPr>
      <w:r>
        <w:rPr>
          <w:sz w:val="22"/>
          <w:szCs w:val="22"/>
        </w:rPr>
        <w:t xml:space="preserve">Net Margin % was calculated as Net Income divided by Revenue, wrapped in an IFERROR function so that rows with missing source data returned a blank result instead of a formula error.</w:t>
      </w:r>
    </w:p>
    <w:p>
      <w:pPr>
        <w:pStyle w:val="ListParagraph"/>
        <w:numPr>
          <w:ilvl w:val="0"/>
          <w:numId w:val="2"/>
        </w:numPr>
        <w:spacing w:after="80" w:line="280"/>
      </w:pPr>
      <w:r>
        <w:rPr>
          <w:sz w:val="22"/>
          <w:szCs w:val="22"/>
        </w:rPr>
        <w:t xml:space="preserve">% Growth was calculated as the change in Market Cap from 2021 to 2022 divided by the 2021 figure, also wrapped in IFERROR for the same reason.</w:t>
      </w:r>
    </w:p>
    <w:p>
      <w:pPr>
        <w:pStyle w:val="Heading2"/>
        <w:spacing w:after="100" w:before="220"/>
      </w:pPr>
      <w:r>
        <w:rPr>
          <w:b/>
          <w:bCs/>
          <w:color w:val="0F5B4C"/>
          <w:sz w:val="23"/>
          <w:szCs w:val="23"/>
        </w:rPr>
        <w:t xml:space="preserve">Industry context and stakeholders</w:t>
      </w:r>
    </w:p>
    <w:p>
      <w:pPr>
        <w:spacing w:after="140" w:line="300"/>
      </w:pPr>
      <w:r>
        <w:rPr>
          <w:sz w:val="22"/>
          <w:szCs w:val="22"/>
        </w:rPr>
        <w:t xml:space="preserve">This analysis sits within the domain of general business and corporate market intelligence, spanning multiple sectors rather than a single industry. The stakeholders who would find this analysis valuable include investors and financial analysts assessing where value and opportunity are concentrated across African markets, and business strategy teams evaluating regional or sector-level expansion decisions. The value to industry lies in identifying where market value is concentrated, which sectors are genuinely efficient rather than simply large, and which companies are gaining or losing ground year over year.</w:t>
      </w:r>
    </w:p>
    <w:p>
      <w:pPr>
        <w:pStyle w:val="Heading1"/>
        <w:pBdr>
          <w:bottom w:val="single" w:color="0F5B4C" w:sz="6" w:space="4"/>
        </w:pBdr>
        <w:spacing w:after="160" w:before="360"/>
      </w:pPr>
      <w:r>
        <w:rPr>
          <w:b/>
          <w:bCs/>
          <w:color w:val="0F5B4C"/>
          <w:sz w:val="28"/>
          <w:szCs w:val="28"/>
        </w:rPr>
        <w:t xml:space="preserve">5. Pre-Analysis</w:t>
      </w:r>
    </w:p>
    <w:p>
      <w:pPr>
        <w:spacing w:after="140" w:line="300"/>
      </w:pPr>
      <w:r>
        <w:rPr>
          <w:sz w:val="22"/>
          <w:szCs w:val="22"/>
        </w:rPr>
        <w:t xml:space="preserve">Before building the dashboard, several trends were identified from an initial review of the raw dataset. The most immediate was the imbalance in company count by country, with South Africa representing 40 percent of all companies on the list, suggesting that market cap by country would likely follow an equally uneven distribution.</w:t>
      </w:r>
    </w:p>
    <w:p>
      <w:pPr>
        <w:spacing w:after="140" w:line="300"/>
      </w:pPr>
      <w:r>
        <w:rPr>
          <w:sz w:val="22"/>
          <w:szCs w:val="22"/>
        </w:rPr>
        <w:t xml:space="preserve">A potential correlation was also anticipated between sector size and profitability, specifically whether the largest sectors by market cap (Finance and Non-Energy Materials) would also prove to be the most profitable, or whether smaller sectors might show stronger efficiency once the data was calculated.</w:t>
      </w:r>
    </w:p>
    <w:p>
      <w:pPr>
        <w:spacing w:after="140" w:line="300"/>
      </w:pPr>
      <w:r>
        <w:rPr>
          <w:sz w:val="22"/>
          <w:szCs w:val="22"/>
        </w:rPr>
        <w:t xml:space="preserve">The key questions that guided the analysis were: which countries and sectors hold the most corporate value; how concentrated is that value among a small number of companies; how did company valuations change between 2021 and 2022; and what is the relationship between company size and profitability.</w:t>
      </w:r>
    </w:p>
    <w:p>
      <w:pPr>
        <w:pStyle w:val="Heading1"/>
        <w:pBdr>
          <w:bottom w:val="single" w:color="0F5B4C" w:sz="6" w:space="4"/>
        </w:pBdr>
        <w:spacing w:after="160" w:before="360"/>
      </w:pPr>
      <w:r>
        <w:rPr>
          <w:b/>
          <w:bCs/>
          <w:color w:val="0F5B4C"/>
          <w:sz w:val="28"/>
          <w:szCs w:val="28"/>
        </w:rPr>
        <w:t xml:space="preserve">6. In-Analysis</w:t>
      </w:r>
    </w:p>
    <w:p>
      <w:pPr>
        <w:spacing w:after="140" w:line="300"/>
      </w:pPr>
      <w:r>
        <w:rPr>
          <w:sz w:val="22"/>
          <w:szCs w:val="22"/>
        </w:rPr>
        <w:t xml:space="preserve">During the analysis stage, several preliminary observations emerged that required further verification before being treated as confirmed findings.</w:t>
      </w:r>
    </w:p>
    <w:p>
      <w:pPr>
        <w:spacing w:after="140" w:line="300"/>
      </w:pPr>
      <w:r>
        <w:rPr>
          <w:sz w:val="22"/>
          <w:szCs w:val="22"/>
        </w:rPr>
        <w:t xml:space="preserve">One preliminary observation was an extreme growth figure for Medtech Holdings, showing over 11,000 percent growth in market cap. On investigation, this was found to be a distortion caused by a very small 2021 base value rather than genuine business growth, and the company was excluded from the Top Gainers analysis with a note explaining the exclusion.</w:t>
      </w:r>
    </w:p>
    <w:p>
      <w:pPr>
        <w:spacing w:after="140" w:line="300"/>
      </w:pPr>
      <w:r>
        <w:rPr>
          <w:sz w:val="22"/>
          <w:szCs w:val="22"/>
        </w:rPr>
        <w:t xml:space="preserve">A second preliminary observation was that the Net Income column initially produced calculation errors when building the Net Margin % field. This was traced back to the 15 cells containing a stray question mark character, which needed to be resolved before the Sector Profitability chart could return accurate averages.</w:t>
      </w:r>
    </w:p>
    <w:p>
      <w:pPr>
        <w:spacing w:after="140" w:line="300"/>
      </w:pPr>
      <w:r>
        <w:rPr>
          <w:sz w:val="22"/>
          <w:szCs w:val="22"/>
        </w:rPr>
        <w:t xml:space="preserve">The Excel techniques used throughout this stage included pivot tables to aggregate values by Country and Sector, calculated fields for Net Margin % and % Growth, IFERROR wrapping to handle missing or invalid source data, and grouping within pivot tables to combine smaller sectors where appropriate.</w:t>
      </w:r>
    </w:p>
    <w:p>
      <w:pPr>
        <w:pStyle w:val="Heading1"/>
        <w:pBdr>
          <w:bottom w:val="single" w:color="0F5B4C" w:sz="6" w:space="4"/>
        </w:pBdr>
        <w:spacing w:after="160" w:before="360"/>
      </w:pPr>
      <w:r>
        <w:rPr>
          <w:b/>
          <w:bCs/>
          <w:color w:val="0F5B4C"/>
          <w:sz w:val="28"/>
          <w:szCs w:val="28"/>
        </w:rPr>
        <w:t xml:space="preserve">7. Post-Analysis and Insights</w:t>
      </w:r>
    </w:p>
    <w:p>
      <w:pPr>
        <w:spacing w:after="140" w:line="300"/>
      </w:pPr>
      <w:r>
        <w:rPr>
          <w:sz w:val="22"/>
          <w:szCs w:val="22"/>
        </w:rPr>
        <w:t xml:space="preserve">The completed dashboard confirmed several of the patterns anticipated during pre-analysis and revealed additional findings that had not been anticipated.</w:t>
      </w:r>
    </w:p>
    <w:p>
      <w:pPr>
        <w:spacing w:after="140" w:line="300"/>
      </w:pPr>
      <w:r>
        <w:rPr>
          <w:sz w:val="22"/>
          <w:szCs w:val="22"/>
        </w:rPr>
        <w:t xml:space="preserve">As expected, market value proved to be heavily concentrated by country. South Africa accounts for $488bn of the $701bn total, or 69.7 percent of all corporate value across the 16 countries covered, despite representing only one of those 16 countries.</w:t>
      </w:r>
    </w:p>
    <w:p>
      <w:pPr>
        <w:spacing w:after="140" w:line="300"/>
      </w:pPr>
      <w:r>
        <w:rPr>
          <w:sz w:val="22"/>
          <w:szCs w:val="22"/>
        </w:rPr>
        <w:t xml:space="preserve">Sector concentration was also confirmed, with Finance and Non-Energy Materials together holding 62 percent of total market cap, while the remaining 9 sectors share just 38 percent. Finance additionally proved to be the most profitable sector, with a 30 percent average net margin, nearly triple that of Consumer Cyclicals at 6 percent, confirming that the largest sector by size is also the most efficient rather than simply the biggest by volume.</w:t>
      </w:r>
    </w:p>
    <w:p>
      <w:pPr>
        <w:spacing w:after="140" w:line="300"/>
      </w:pPr>
      <w:r>
        <w:rPr>
          <w:sz w:val="22"/>
          <w:szCs w:val="22"/>
        </w:rPr>
        <w:t xml:space="preserve">An unanticipated finding was that company size did not correlate with stability in 2022. While 74 percent of companies (180 of 242) grew their market cap over the year, the two steepest declines belonged to Naspers and Fawry, two of the most prominent companies on the entire list, each losing over half their value. At the same time, the strongest growth came from mid-sized, sector-specific companies such as Zambia Sugar and Seed Co rather than the continent's largest names, indicating that scale did not predict performance direction in either direction.</w:t>
      </w:r>
    </w:p>
    <w:p>
      <w:pPr>
        <w:pStyle w:val="Heading1"/>
        <w:pBdr>
          <w:bottom w:val="single" w:color="0F5B4C" w:sz="6" w:space="4"/>
        </w:pBdr>
        <w:spacing w:after="160" w:before="360"/>
      </w:pPr>
      <w:r>
        <w:rPr>
          <w:b/>
          <w:bCs/>
          <w:color w:val="0F5B4C"/>
          <w:sz w:val="28"/>
          <w:szCs w:val="28"/>
        </w:rPr>
        <w:t xml:space="preserve">8. Data Visualizations and Charts</w:t>
      </w:r>
    </w:p>
    <w:p>
      <w:pPr>
        <w:pStyle w:val="Heading2"/>
        <w:spacing w:after="100" w:before="220"/>
      </w:pPr>
      <w:r>
        <w:rPr>
          <w:b/>
          <w:bCs/>
          <w:color w:val="0F5B4C"/>
          <w:sz w:val="23"/>
          <w:szCs w:val="23"/>
        </w:rPr>
        <w:t xml:space="preserve">Market Cap by Country (Filled Map)</w:t>
      </w:r>
    </w:p>
    <w:p>
      <w:pPr>
        <w:spacing w:after="140" w:line="300"/>
      </w:pPr>
      <w:r>
        <w:rPr>
          <w:sz w:val="22"/>
          <w:szCs w:val="22"/>
        </w:rPr>
        <w:t xml:space="preserve">A filled map of Africa shaded by total market cap 2022, using the Country field as the geography and Sum of Market Cap as the value. This chart makes the concentration in South Africa immediately visible against the rest of the continent.</w:t>
      </w:r>
    </w:p>
    <w:p>
      <w:pPr>
        <w:pStyle w:val="Heading2"/>
        <w:spacing w:after="100" w:before="220"/>
      </w:pPr>
      <w:r>
        <w:rPr>
          <w:b/>
          <w:bCs/>
          <w:color w:val="0F5B4C"/>
          <w:sz w:val="23"/>
          <w:szCs w:val="23"/>
        </w:rPr>
        <w:t xml:space="preserve">Sector Share by Market Cap (Pie Chart)</w:t>
      </w:r>
    </w:p>
    <w:p>
      <w:pPr>
        <w:spacing w:after="140" w:line="300"/>
      </w:pPr>
      <w:r>
        <w:rPr>
          <w:sz w:val="22"/>
          <w:szCs w:val="22"/>
        </w:rPr>
        <w:t xml:space="preserve">Shows each sector's share of total market cap 2022. Smaller sectors were grouped where necessary to keep the chart readable, since the full set of 11 sectors produced overlapping labels when all displayed individually.</w:t>
      </w:r>
    </w:p>
    <w:p>
      <w:pPr>
        <w:pStyle w:val="Heading2"/>
        <w:spacing w:after="100" w:before="220"/>
      </w:pPr>
      <w:r>
        <w:rPr>
          <w:b/>
          <w:bCs/>
          <w:color w:val="0F5B4C"/>
          <w:sz w:val="23"/>
          <w:szCs w:val="23"/>
        </w:rPr>
        <w:t xml:space="preserve">Sector Profitability (Bar Chart)</w:t>
      </w:r>
    </w:p>
    <w:p>
      <w:pPr>
        <w:spacing w:after="140" w:line="300"/>
      </w:pPr>
      <w:r>
        <w:rPr>
          <w:sz w:val="22"/>
          <w:szCs w:val="22"/>
        </w:rPr>
        <w:t xml:space="preserve">Shows average Net Margin % by sector, sorted from highest to lowest, allowing a direct comparison of sector efficiency independent of sector size.</w:t>
      </w:r>
    </w:p>
    <w:p>
      <w:pPr>
        <w:pStyle w:val="Heading2"/>
        <w:spacing w:after="100" w:before="220"/>
      </w:pPr>
      <w:r>
        <w:rPr>
          <w:b/>
          <w:bCs/>
          <w:color w:val="0F5B4C"/>
          <w:sz w:val="23"/>
          <w:szCs w:val="23"/>
        </w:rPr>
        <w:t xml:space="preserve">Top 5 Gainers and Top 5 Losers (Horizontal Bar Charts)</w:t>
      </w:r>
    </w:p>
    <w:p>
      <w:pPr>
        <w:spacing w:after="140" w:line="300"/>
      </w:pPr>
      <w:r>
        <w:rPr>
          <w:sz w:val="22"/>
          <w:szCs w:val="22"/>
        </w:rPr>
        <w:t xml:space="preserve">Two separate charts showing the five companies with the largest percentage increase and the five with the largest percentage decrease in market cap between 2021 and 2022, built from a helper table sourced from a pivot table sorted by the % Growth calculated field.</w:t>
      </w:r>
    </w:p>
    <w:p>
      <w:pPr>
        <w:pStyle w:val="Heading2"/>
        <w:spacing w:after="100" w:before="220"/>
      </w:pPr>
      <w:r>
        <w:rPr>
          <w:b/>
          <w:bCs/>
          <w:color w:val="0F5B4C"/>
          <w:sz w:val="23"/>
          <w:szCs w:val="23"/>
        </w:rPr>
        <w:t xml:space="preserve">Market Cap by Company (Treemap)</w:t>
      </w:r>
    </w:p>
    <w:p>
      <w:pPr>
        <w:spacing w:after="140" w:line="300"/>
      </w:pPr>
      <w:r>
        <w:rPr>
          <w:sz w:val="22"/>
          <w:szCs w:val="22"/>
        </w:rPr>
        <w:t xml:space="preserve">Shows the largest individual companies by market cap 2022, sized proportionally, illustrating the gap between Naspers and the companies immediately below it in the ranking.</w:t>
      </w:r>
    </w:p>
    <w:p>
      <w:pPr>
        <w:pStyle w:val="Heading2"/>
        <w:spacing w:after="100" w:before="220"/>
      </w:pPr>
      <w:r>
        <w:rPr>
          <w:b/>
          <w:bCs/>
          <w:color w:val="0F5B4C"/>
          <w:sz w:val="23"/>
          <w:szCs w:val="23"/>
        </w:rPr>
        <w:t xml:space="preserve">Dashboard Design</w:t>
      </w:r>
    </w:p>
    <w:p>
      <w:pPr>
        <w:spacing w:after="140" w:line="300"/>
      </w:pPr>
      <w:r>
        <w:rPr>
          <w:sz w:val="22"/>
          <w:szCs w:val="22"/>
        </w:rPr>
        <w:t xml:space="preserve">The dashboard combines KPI cards summarising headline figures, Country and Sector slicers connected to the relevant charts, and the six visualisations described above, laid out to give the map the largest visual weight given its role as the dashboard's central chart.</w:t>
      </w:r>
    </w:p>
    <w:p>
      <w:pPr>
        <w:pStyle w:val="Heading1"/>
        <w:pBdr>
          <w:bottom w:val="single" w:color="0F5B4C" w:sz="6" w:space="4"/>
        </w:pBdr>
        <w:spacing w:after="160" w:before="360"/>
      </w:pPr>
      <w:r>
        <w:rPr>
          <w:b/>
          <w:bCs/>
          <w:color w:val="0F5B4C"/>
          <w:sz w:val="28"/>
          <w:szCs w:val="28"/>
        </w:rPr>
        <w:t xml:space="preserve">9. Recommendations and Observations</w:t>
      </w:r>
    </w:p>
    <w:p>
      <w:pPr>
        <w:pStyle w:val="ListParagraph"/>
        <w:numPr>
          <w:ilvl w:val="0"/>
          <w:numId w:val="2"/>
        </w:numPr>
        <w:spacing w:after="80" w:line="280"/>
      </w:pPr>
      <w:r>
        <w:rPr>
          <w:b/>
          <w:bCs/>
          <w:sz w:val="22"/>
          <w:szCs w:val="22"/>
        </w:rPr>
        <w:t xml:space="preserve">Diversify beyond South Africa. </w:t>
      </w:r>
      <w:r>
        <w:rPr>
          <w:sz w:val="22"/>
          <w:szCs w:val="22"/>
        </w:rPr>
        <w:t xml:space="preserve">With 69.7 percent of value concentrated in one country, any strategy relying solely on South Africa faces concentrated risk. Countries such as Nigeria, Egypt, and Morocco warrant individual analysis rather than being grouped as the rest of Africa.</w:t>
      </w:r>
    </w:p>
    <w:p>
      <w:pPr>
        <w:pStyle w:val="ListParagraph"/>
        <w:numPr>
          <w:ilvl w:val="0"/>
          <w:numId w:val="2"/>
        </w:numPr>
        <w:spacing w:after="80" w:line="280"/>
      </w:pPr>
      <w:r>
        <w:rPr>
          <w:b/>
          <w:bCs/>
          <w:sz w:val="22"/>
          <w:szCs w:val="22"/>
        </w:rPr>
        <w:t xml:space="preserve">Balance stability with growth potential. </w:t>
      </w:r>
      <w:r>
        <w:rPr>
          <w:sz w:val="22"/>
          <w:szCs w:val="22"/>
        </w:rPr>
        <w:t xml:space="preserve">Finance and Non-Energy Materials offer the strongest combination of size and profitability, but the sharpest growth came from mid-sized companies, so growth-focused strategies should look beyond the top 10 companies by size.</w:t>
      </w:r>
    </w:p>
    <w:p>
      <w:pPr>
        <w:pStyle w:val="ListParagraph"/>
        <w:numPr>
          <w:ilvl w:val="0"/>
          <w:numId w:val="2"/>
        </w:numPr>
        <w:spacing w:after="80" w:line="280"/>
      </w:pPr>
      <w:r>
        <w:rPr>
          <w:b/>
          <w:bCs/>
          <w:sz w:val="22"/>
          <w:szCs w:val="22"/>
        </w:rPr>
        <w:t xml:space="preserve">Do not treat size as a proxy for stability. </w:t>
      </w:r>
      <w:r>
        <w:rPr>
          <w:sz w:val="22"/>
          <w:szCs w:val="22"/>
        </w:rPr>
        <w:t xml:space="preserve">Naspers and Fawry, two of the most prominent companies on the list, posted the steepest declines in 2022. Year-over-year trend tracking is a more reliable signal than static rankings.</w:t>
      </w:r>
    </w:p>
    <w:p>
      <w:pPr>
        <w:pStyle w:val="ListParagraph"/>
        <w:numPr>
          <w:ilvl w:val="0"/>
          <w:numId w:val="2"/>
        </w:numPr>
        <w:spacing w:after="80" w:line="280"/>
      </w:pPr>
      <w:r>
        <w:rPr>
          <w:b/>
          <w:bCs/>
          <w:sz w:val="22"/>
          <w:szCs w:val="22"/>
        </w:rPr>
        <w:t xml:space="preserve">Investigate outliers before replicating them. </w:t>
      </w:r>
      <w:r>
        <w:rPr>
          <w:sz w:val="22"/>
          <w:szCs w:val="22"/>
        </w:rPr>
        <w:t xml:space="preserve">Extreme growth figures should be verified for genuine performance versus one-off effects, particularly since a similar case (Medtech Holdings) was already found to be a data distortion rather than real growth.</w:t>
      </w:r>
    </w:p>
    <w:p>
      <w:pPr>
        <w:pStyle w:val="ListParagraph"/>
        <w:numPr>
          <w:ilvl w:val="0"/>
          <w:numId w:val="2"/>
        </w:numPr>
        <w:spacing w:after="80" w:line="280"/>
      </w:pPr>
      <w:r>
        <w:rPr>
          <w:b/>
          <w:bCs/>
          <w:sz w:val="22"/>
          <w:szCs w:val="22"/>
        </w:rPr>
        <w:t xml:space="preserve">Expand the dataset before drawing continent-wide conclusions. </w:t>
      </w:r>
      <w:r>
        <w:rPr>
          <w:sz w:val="22"/>
          <w:szCs w:val="22"/>
        </w:rPr>
        <w:t xml:space="preserve">With only 16 of 54 countries represented and some sectors containing as few as 2 companies, findings should be read as indicative of top-tier corporate Africa rather than the full economic picture.</w:t>
      </w:r>
    </w:p>
    <w:p>
      <w:pPr>
        <w:spacing w:after="140" w:line="300"/>
      </w:pPr>
      <w:r>
        <w:rPr>
          <w:sz w:val="22"/>
          <w:szCs w:val="22"/>
        </w:rPr>
        <w:t xml:space="preserve">An unexpected outcome worth noting was the discovery of the stray question mark characters in the Net Income column. This was not apparent from a first glance at the dataset and only surfaced once calculated fields began producing errors, underscoring the importance of testing calculations against real data before finalising any dashboard.</w:t>
      </w:r>
    </w:p>
    <w:p>
      <w:pPr>
        <w:pStyle w:val="Heading1"/>
        <w:pBdr>
          <w:bottom w:val="single" w:color="0F5B4C" w:sz="6" w:space="4"/>
        </w:pBdr>
        <w:spacing w:after="160" w:before="360"/>
      </w:pPr>
      <w:r>
        <w:rPr>
          <w:b/>
          <w:bCs/>
          <w:color w:val="0F5B4C"/>
          <w:sz w:val="28"/>
          <w:szCs w:val="28"/>
        </w:rPr>
        <w:t xml:space="preserve">10. Conclusion</w:t>
      </w:r>
    </w:p>
    <w:p>
      <w:pPr>
        <w:spacing w:after="140" w:line="300"/>
      </w:pPr>
      <w:r>
        <w:rPr>
          <w:sz w:val="22"/>
          <w:szCs w:val="22"/>
        </w:rPr>
        <w:t xml:space="preserve">This project set out to convert a raw ranked list of companies into a structured understanding of Africa's corporate landscape, and the analysis confirmed that the continent's top 250 companies reflect concentration rather than distribution. One country, two sectors, and a small number of individual companies account for a disproportionate share of total value.</w:t>
      </w:r>
    </w:p>
    <w:p>
      <w:pPr>
        <w:spacing w:after="140" w:line="300"/>
      </w:pPr>
      <w:r>
        <w:rPr>
          <w:sz w:val="22"/>
          <w:szCs w:val="22"/>
        </w:rPr>
        <w:t xml:space="preserve">A key learning from this project was that data cleaning decisions, such as how to interpret a stray character or whether to exclude a statistical outlier, are not neutral technical steps. They directly shape the conclusions a dashboard can support, and documenting those decisions transparently is as important as the analysis itself.</w:t>
      </w:r>
    </w:p>
    <w:p>
      <w:pPr>
        <w:spacing w:after="140" w:line="300"/>
      </w:pPr>
      <w:r>
        <w:rPr>
          <w:sz w:val="22"/>
          <w:szCs w:val="22"/>
        </w:rPr>
        <w:t xml:space="preserve">The main limitations of this analysis are the uneven country and sector representation within the dataset and its coverage of only 16 of Africa's 54 countries. Future research could extend this analysis by incorporating a broader company list, adding country-level GDP data to assess whether corporate value is proportional to economic size, and tracking these same companies across additional years to build a genuine multi-year trend rather than a single year-over-year comparison.</w:t>
      </w:r>
    </w:p>
    <w:p>
      <w:pPr>
        <w:pStyle w:val="Heading1"/>
        <w:pBdr>
          <w:bottom w:val="single" w:color="0F5B4C" w:sz="6" w:space="4"/>
        </w:pBdr>
        <w:spacing w:after="160" w:before="360"/>
      </w:pPr>
      <w:r>
        <w:rPr>
          <w:b/>
          <w:bCs/>
          <w:color w:val="0F5B4C"/>
          <w:sz w:val="28"/>
          <w:szCs w:val="28"/>
        </w:rPr>
        <w:t xml:space="preserve">11. References and Appendices</w:t>
      </w:r>
    </w:p>
    <w:p>
      <w:pPr>
        <w:pStyle w:val="Heading2"/>
        <w:spacing w:after="100" w:before="220"/>
      </w:pPr>
      <w:r>
        <w:rPr>
          <w:b/>
          <w:bCs/>
          <w:color w:val="0F5B4C"/>
          <w:sz w:val="23"/>
          <w:szCs w:val="23"/>
        </w:rPr>
        <w:t xml:space="preserve">References</w:t>
      </w:r>
    </w:p>
    <w:p>
      <w:pPr>
        <w:spacing w:after="140" w:line="300"/>
      </w:pPr>
      <w:r>
        <w:rPr>
          <w:sz w:val="22"/>
          <w:szCs w:val="22"/>
        </w:rPr>
        <w:t xml:space="preserve">Kaggle (2022) Africa's Top 250 Companies 2022 Dataset. Available at: https://www.kaggle.com (Accessed: 2026).</w:t>
      </w:r>
    </w:p>
    <w:p>
      <w:pPr>
        <w:pStyle w:val="Heading2"/>
        <w:spacing w:after="100" w:before="220"/>
      </w:pPr>
      <w:r>
        <w:rPr>
          <w:b/>
          <w:bCs/>
          <w:color w:val="0F5B4C"/>
          <w:sz w:val="23"/>
          <w:szCs w:val="23"/>
        </w:rPr>
        <w:t xml:space="preserve">Appendix A: Key Findings Summary</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4300"/>
        <w:gridCol w:w="2620"/>
        <w:gridCol w:w="2620"/>
      </w:tblGrid>
      <w:tr>
        <w:trPr>
          <w:tblHeader/>
        </w:trPr>
        <w:tc>
          <w:tcPr>
            <w:tcW w:type="dxa" w:w="4300"/>
            <w:shd w:fill="0F5B4C" w:val="clear"/>
            <w:tcMar>
              <w:top w:type="dxa" w:w="100"/>
              <w:left w:type="dxa" w:w="120"/>
              <w:bottom w:type="dxa" w:w="100"/>
              <w:right w:type="dxa" w:w="120"/>
            </w:tcMar>
          </w:tcPr>
          <w:p>
            <w:r>
              <w:rPr>
                <w:b/>
                <w:bCs/>
                <w:color w:val="FFFFFF"/>
                <w:sz w:val="20"/>
                <w:szCs w:val="20"/>
              </w:rPr>
              <w:t xml:space="preserve">Metric</w:t>
            </w:r>
          </w:p>
        </w:tc>
        <w:tc>
          <w:tcPr>
            <w:tcW w:type="dxa" w:w="2620"/>
            <w:shd w:fill="0F5B4C" w:val="clear"/>
            <w:tcMar>
              <w:top w:type="dxa" w:w="100"/>
              <w:left w:type="dxa" w:w="120"/>
              <w:bottom w:type="dxa" w:w="100"/>
              <w:right w:type="dxa" w:w="120"/>
            </w:tcMar>
          </w:tcPr>
          <w:p>
            <w:r>
              <w:rPr>
                <w:b/>
                <w:bCs/>
                <w:color w:val="FFFFFF"/>
                <w:sz w:val="20"/>
                <w:szCs w:val="20"/>
              </w:rPr>
              <w:t xml:space="preserve">Result</w:t>
            </w:r>
          </w:p>
        </w:tc>
        <w:tc>
          <w:tcPr>
            <w:tcW w:type="dxa" w:w="2620"/>
            <w:shd w:fill="0F5B4C" w:val="clear"/>
            <w:tcMar>
              <w:top w:type="dxa" w:w="100"/>
              <w:left w:type="dxa" w:w="120"/>
              <w:bottom w:type="dxa" w:w="100"/>
              <w:right w:type="dxa" w:w="120"/>
            </w:tcMar>
          </w:tcPr>
          <w:p>
            <w:r>
              <w:rPr>
                <w:b/>
                <w:bCs/>
                <w:color w:val="FFFFFF"/>
                <w:sz w:val="20"/>
                <w:szCs w:val="20"/>
              </w:rPr>
              <w:t xml:space="preserve">Share / Note</w:t>
            </w:r>
          </w:p>
        </w:tc>
      </w:tr>
      <w:tr>
        <w:tc>
          <w:tcPr>
            <w:tcW w:type="dxa" w:w="4300"/>
            <w:shd w:fill="DCEFE8" w:val="clear"/>
            <w:tcMar>
              <w:top w:type="dxa" w:w="90"/>
              <w:left w:type="dxa" w:w="120"/>
              <w:bottom w:type="dxa" w:w="90"/>
              <w:right w:type="dxa" w:w="120"/>
            </w:tcMar>
          </w:tcPr>
          <w:p>
            <w:r>
              <w:rPr>
                <w:sz w:val="20"/>
                <w:szCs w:val="20"/>
              </w:rPr>
              <w:t xml:space="preserve">Total market cap (2022)</w:t>
            </w:r>
          </w:p>
        </w:tc>
        <w:tc>
          <w:tcPr>
            <w:tcW w:type="dxa" w:w="2620"/>
            <w:shd w:fill="DCEFE8" w:val="clear"/>
            <w:tcMar>
              <w:top w:type="dxa" w:w="90"/>
              <w:left w:type="dxa" w:w="120"/>
              <w:bottom w:type="dxa" w:w="90"/>
              <w:right w:type="dxa" w:w="120"/>
            </w:tcMar>
          </w:tcPr>
          <w:p>
            <w:r>
              <w:rPr>
                <w:sz w:val="20"/>
                <w:szCs w:val="20"/>
              </w:rPr>
              <w:t xml:space="preserve">$701bn</w:t>
            </w:r>
          </w:p>
        </w:tc>
        <w:tc>
          <w:tcPr>
            <w:tcW w:type="dxa" w:w="2620"/>
            <w:shd w:fill="DCEFE8" w:val="clear"/>
            <w:tcMar>
              <w:top w:type="dxa" w:w="90"/>
              <w:left w:type="dxa" w:w="120"/>
              <w:bottom w:type="dxa" w:w="90"/>
              <w:right w:type="dxa" w:w="120"/>
            </w:tcMar>
          </w:tcPr>
          <w:p>
            <w:r>
              <w:rPr>
                <w:sz w:val="20"/>
                <w:szCs w:val="20"/>
              </w:rPr>
              <w:t xml:space="preserve">Across 250 companies</w:t>
            </w:r>
          </w:p>
        </w:tc>
      </w:tr>
      <w:tr>
        <w:tc>
          <w:tcPr>
            <w:tcW w:type="dxa" w:w="4300"/>
            <w:tcMar>
              <w:top w:type="dxa" w:w="90"/>
              <w:left w:type="dxa" w:w="120"/>
              <w:bottom w:type="dxa" w:w="90"/>
              <w:right w:type="dxa" w:w="120"/>
            </w:tcMar>
          </w:tcPr>
          <w:p>
            <w:r>
              <w:rPr>
                <w:sz w:val="20"/>
                <w:szCs w:val="20"/>
              </w:rPr>
              <w:t xml:space="preserve">Companies tracked</w:t>
            </w:r>
          </w:p>
        </w:tc>
        <w:tc>
          <w:tcPr>
            <w:tcW w:type="dxa" w:w="2620"/>
            <w:tcMar>
              <w:top w:type="dxa" w:w="90"/>
              <w:left w:type="dxa" w:w="120"/>
              <w:bottom w:type="dxa" w:w="90"/>
              <w:right w:type="dxa" w:w="120"/>
            </w:tcMar>
          </w:tcPr>
          <w:p>
            <w:r>
              <w:rPr>
                <w:sz w:val="20"/>
                <w:szCs w:val="20"/>
              </w:rPr>
              <w:t xml:space="preserve">250</w:t>
            </w:r>
          </w:p>
        </w:tc>
        <w:tc>
          <w:tcPr>
            <w:tcW w:type="dxa" w:w="2620"/>
            <w:tcMar>
              <w:top w:type="dxa" w:w="90"/>
              <w:left w:type="dxa" w:w="120"/>
              <w:bottom w:type="dxa" w:w="90"/>
              <w:right w:type="dxa" w:w="120"/>
            </w:tcMar>
          </w:tcPr>
          <w:p>
            <w:r>
              <w:rPr>
                <w:sz w:val="20"/>
                <w:szCs w:val="20"/>
              </w:rPr>
              <w:t xml:space="preserve">16 countries, 11 sectors</w:t>
            </w:r>
          </w:p>
        </w:tc>
      </w:tr>
      <w:tr>
        <w:tc>
          <w:tcPr>
            <w:tcW w:type="dxa" w:w="4300"/>
            <w:shd w:fill="DCEFE8" w:val="clear"/>
            <w:tcMar>
              <w:top w:type="dxa" w:w="90"/>
              <w:left w:type="dxa" w:w="120"/>
              <w:bottom w:type="dxa" w:w="90"/>
              <w:right w:type="dxa" w:w="120"/>
            </w:tcMar>
          </w:tcPr>
          <w:p>
            <w:r>
              <w:rPr>
                <w:sz w:val="20"/>
                <w:szCs w:val="20"/>
              </w:rPr>
              <w:t xml:space="preserve">Top country by market cap</w:t>
            </w:r>
          </w:p>
        </w:tc>
        <w:tc>
          <w:tcPr>
            <w:tcW w:type="dxa" w:w="2620"/>
            <w:shd w:fill="DCEFE8" w:val="clear"/>
            <w:tcMar>
              <w:top w:type="dxa" w:w="90"/>
              <w:left w:type="dxa" w:w="120"/>
              <w:bottom w:type="dxa" w:w="90"/>
              <w:right w:type="dxa" w:w="120"/>
            </w:tcMar>
          </w:tcPr>
          <w:p>
            <w:r>
              <w:rPr>
                <w:sz w:val="20"/>
                <w:szCs w:val="20"/>
              </w:rPr>
              <w:t xml:space="preserve">South Africa</w:t>
            </w:r>
          </w:p>
        </w:tc>
        <w:tc>
          <w:tcPr>
            <w:tcW w:type="dxa" w:w="2620"/>
            <w:shd w:fill="DCEFE8" w:val="clear"/>
            <w:tcMar>
              <w:top w:type="dxa" w:w="90"/>
              <w:left w:type="dxa" w:w="120"/>
              <w:bottom w:type="dxa" w:w="90"/>
              <w:right w:type="dxa" w:w="120"/>
            </w:tcMar>
          </w:tcPr>
          <w:p>
            <w:r>
              <w:rPr>
                <w:sz w:val="20"/>
                <w:szCs w:val="20"/>
              </w:rPr>
              <w:t xml:space="preserve">$488bn, 69.7% of total</w:t>
            </w:r>
          </w:p>
        </w:tc>
      </w:tr>
      <w:tr>
        <w:tc>
          <w:tcPr>
            <w:tcW w:type="dxa" w:w="4300"/>
            <w:tcMar>
              <w:top w:type="dxa" w:w="90"/>
              <w:left w:type="dxa" w:w="120"/>
              <w:bottom w:type="dxa" w:w="90"/>
              <w:right w:type="dxa" w:w="120"/>
            </w:tcMar>
          </w:tcPr>
          <w:p>
            <w:r>
              <w:rPr>
                <w:sz w:val="20"/>
                <w:szCs w:val="20"/>
              </w:rPr>
              <w:t xml:space="preserve">Top sector by market cap</w:t>
            </w:r>
          </w:p>
        </w:tc>
        <w:tc>
          <w:tcPr>
            <w:tcW w:type="dxa" w:w="2620"/>
            <w:tcMar>
              <w:top w:type="dxa" w:w="90"/>
              <w:left w:type="dxa" w:w="120"/>
              <w:bottom w:type="dxa" w:w="90"/>
              <w:right w:type="dxa" w:w="120"/>
            </w:tcMar>
          </w:tcPr>
          <w:p>
            <w:r>
              <w:rPr>
                <w:sz w:val="20"/>
                <w:szCs w:val="20"/>
              </w:rPr>
              <w:t xml:space="preserve">Finance</w:t>
            </w:r>
          </w:p>
        </w:tc>
        <w:tc>
          <w:tcPr>
            <w:tcW w:type="dxa" w:w="2620"/>
            <w:tcMar>
              <w:top w:type="dxa" w:w="90"/>
              <w:left w:type="dxa" w:w="120"/>
              <w:bottom w:type="dxa" w:w="90"/>
              <w:right w:type="dxa" w:w="120"/>
            </w:tcMar>
          </w:tcPr>
          <w:p>
            <w:r>
              <w:rPr>
                <w:sz w:val="20"/>
                <w:szCs w:val="20"/>
              </w:rPr>
              <w:t xml:space="preserve">34.8% of total</w:t>
            </w:r>
          </w:p>
        </w:tc>
      </w:tr>
      <w:tr>
        <w:tc>
          <w:tcPr>
            <w:tcW w:type="dxa" w:w="4300"/>
            <w:shd w:fill="DCEFE8" w:val="clear"/>
            <w:tcMar>
              <w:top w:type="dxa" w:w="90"/>
              <w:left w:type="dxa" w:w="120"/>
              <w:bottom w:type="dxa" w:w="90"/>
              <w:right w:type="dxa" w:w="120"/>
            </w:tcMar>
          </w:tcPr>
          <w:p>
            <w:r>
              <w:rPr>
                <w:sz w:val="20"/>
                <w:szCs w:val="20"/>
              </w:rPr>
              <w:t xml:space="preserve">Top company by market cap</w:t>
            </w:r>
          </w:p>
        </w:tc>
        <w:tc>
          <w:tcPr>
            <w:tcW w:type="dxa" w:w="2620"/>
            <w:shd w:fill="DCEFE8" w:val="clear"/>
            <w:tcMar>
              <w:top w:type="dxa" w:w="90"/>
              <w:left w:type="dxa" w:w="120"/>
              <w:bottom w:type="dxa" w:w="90"/>
              <w:right w:type="dxa" w:w="120"/>
            </w:tcMar>
          </w:tcPr>
          <w:p>
            <w:r>
              <w:rPr>
                <w:sz w:val="20"/>
                <w:szCs w:val="20"/>
              </w:rPr>
              <w:t xml:space="preserve">Naspers</w:t>
            </w:r>
          </w:p>
        </w:tc>
        <w:tc>
          <w:tcPr>
            <w:tcW w:type="dxa" w:w="2620"/>
            <w:shd w:fill="DCEFE8" w:val="clear"/>
            <w:tcMar>
              <w:top w:type="dxa" w:w="90"/>
              <w:left w:type="dxa" w:w="120"/>
              <w:bottom w:type="dxa" w:w="90"/>
              <w:right w:type="dxa" w:w="120"/>
            </w:tcMar>
          </w:tcPr>
          <w:p>
            <w:r>
              <w:rPr>
                <w:sz w:val="20"/>
                <w:szCs w:val="20"/>
              </w:rPr>
              <w:t xml:space="preserve">$49.6bn</w:t>
            </w:r>
          </w:p>
        </w:tc>
      </w:tr>
      <w:tr>
        <w:tc>
          <w:tcPr>
            <w:tcW w:type="dxa" w:w="4300"/>
            <w:tcMar>
              <w:top w:type="dxa" w:w="90"/>
              <w:left w:type="dxa" w:w="120"/>
              <w:bottom w:type="dxa" w:w="90"/>
              <w:right w:type="dxa" w:w="120"/>
            </w:tcMar>
          </w:tcPr>
          <w:p>
            <w:r>
              <w:rPr>
                <w:sz w:val="20"/>
                <w:szCs w:val="20"/>
              </w:rPr>
              <w:t xml:space="preserve">Most profitable sector</w:t>
            </w:r>
          </w:p>
        </w:tc>
        <w:tc>
          <w:tcPr>
            <w:tcW w:type="dxa" w:w="2620"/>
            <w:tcMar>
              <w:top w:type="dxa" w:w="90"/>
              <w:left w:type="dxa" w:w="120"/>
              <w:bottom w:type="dxa" w:w="90"/>
              <w:right w:type="dxa" w:w="120"/>
            </w:tcMar>
          </w:tcPr>
          <w:p>
            <w:r>
              <w:rPr>
                <w:sz w:val="20"/>
                <w:szCs w:val="20"/>
              </w:rPr>
              <w:t xml:space="preserve">Finance</w:t>
            </w:r>
          </w:p>
        </w:tc>
        <w:tc>
          <w:tcPr>
            <w:tcW w:type="dxa" w:w="2620"/>
            <w:tcMar>
              <w:top w:type="dxa" w:w="90"/>
              <w:left w:type="dxa" w:w="120"/>
              <w:bottom w:type="dxa" w:w="90"/>
              <w:right w:type="dxa" w:w="120"/>
            </w:tcMar>
          </w:tcPr>
          <w:p>
            <w:r>
              <w:rPr>
                <w:sz w:val="20"/>
                <w:szCs w:val="20"/>
              </w:rPr>
              <w:t xml:space="preserve">30% average net margin</w:t>
            </w:r>
          </w:p>
        </w:tc>
      </w:tr>
      <w:tr>
        <w:tc>
          <w:tcPr>
            <w:tcW w:type="dxa" w:w="4300"/>
            <w:shd w:fill="DCEFE8" w:val="clear"/>
            <w:tcMar>
              <w:top w:type="dxa" w:w="90"/>
              <w:left w:type="dxa" w:w="120"/>
              <w:bottom w:type="dxa" w:w="90"/>
              <w:right w:type="dxa" w:w="120"/>
            </w:tcMar>
          </w:tcPr>
          <w:p>
            <w:r>
              <w:rPr>
                <w:sz w:val="20"/>
                <w:szCs w:val="20"/>
              </w:rPr>
              <w:t xml:space="preserve">Companies that grew (2021 to 2022)</w:t>
            </w:r>
          </w:p>
        </w:tc>
        <w:tc>
          <w:tcPr>
            <w:tcW w:type="dxa" w:w="2620"/>
            <w:shd w:fill="DCEFE8" w:val="clear"/>
            <w:tcMar>
              <w:top w:type="dxa" w:w="90"/>
              <w:left w:type="dxa" w:w="120"/>
              <w:bottom w:type="dxa" w:w="90"/>
              <w:right w:type="dxa" w:w="120"/>
            </w:tcMar>
          </w:tcPr>
          <w:p>
            <w:r>
              <w:rPr>
                <w:sz w:val="20"/>
                <w:szCs w:val="20"/>
              </w:rPr>
              <w:t xml:space="preserve">180 of 242</w:t>
            </w:r>
          </w:p>
        </w:tc>
        <w:tc>
          <w:tcPr>
            <w:tcW w:type="dxa" w:w="2620"/>
            <w:shd w:fill="DCEFE8" w:val="clear"/>
            <w:tcMar>
              <w:top w:type="dxa" w:w="90"/>
              <w:left w:type="dxa" w:w="120"/>
              <w:bottom w:type="dxa" w:w="90"/>
              <w:right w:type="dxa" w:w="120"/>
            </w:tcMar>
          </w:tcPr>
          <w:p>
            <w:r>
              <w:rPr>
                <w:sz w:val="20"/>
                <w:szCs w:val="20"/>
              </w:rPr>
              <w:t xml:space="preserve">74%</w:t>
            </w:r>
          </w:p>
        </w:tc>
      </w:tr>
      <w:tr>
        <w:tc>
          <w:tcPr>
            <w:tcW w:type="dxa" w:w="4300"/>
            <w:tcMar>
              <w:top w:type="dxa" w:w="90"/>
              <w:left w:type="dxa" w:w="120"/>
              <w:bottom w:type="dxa" w:w="90"/>
              <w:right w:type="dxa" w:w="120"/>
            </w:tcMar>
          </w:tcPr>
          <w:p>
            <w:r>
              <w:rPr>
                <w:sz w:val="20"/>
                <w:szCs w:val="20"/>
              </w:rPr>
              <w:t xml:space="preserve">New entrants (2022)</w:t>
            </w:r>
          </w:p>
        </w:tc>
        <w:tc>
          <w:tcPr>
            <w:tcW w:type="dxa" w:w="2620"/>
            <w:tcMar>
              <w:top w:type="dxa" w:w="90"/>
              <w:left w:type="dxa" w:w="120"/>
              <w:bottom w:type="dxa" w:w="90"/>
              <w:right w:type="dxa" w:w="120"/>
            </w:tcMar>
          </w:tcPr>
          <w:p>
            <w:r>
              <w:rPr>
                <w:sz w:val="20"/>
                <w:szCs w:val="20"/>
              </w:rPr>
              <w:t xml:space="preserve">39</w:t>
            </w:r>
          </w:p>
        </w:tc>
        <w:tc>
          <w:tcPr>
            <w:tcW w:type="dxa" w:w="2620"/>
            <w:tcMar>
              <w:top w:type="dxa" w:w="90"/>
              <w:left w:type="dxa" w:w="120"/>
              <w:bottom w:type="dxa" w:w="90"/>
              <w:right w:type="dxa" w:w="120"/>
            </w:tcMar>
          </w:tcPr>
          <w:p>
            <w:r>
              <w:rPr>
                <w:sz w:val="20"/>
                <w:szCs w:val="20"/>
              </w:rPr>
              <w:t xml:space="preserve">15.6% of the list</w:t>
            </w:r>
          </w:p>
        </w:tc>
      </w:tr>
      <w:tr>
        <w:tc>
          <w:tcPr>
            <w:tcW w:type="dxa" w:w="4300"/>
            <w:shd w:fill="DCEFE8" w:val="clear"/>
            <w:tcMar>
              <w:top w:type="dxa" w:w="90"/>
              <w:left w:type="dxa" w:w="120"/>
              <w:bottom w:type="dxa" w:w="90"/>
              <w:right w:type="dxa" w:w="120"/>
            </w:tcMar>
          </w:tcPr>
          <w:p>
            <w:r>
              <w:rPr>
                <w:sz w:val="20"/>
                <w:szCs w:val="20"/>
              </w:rPr>
              <w:t xml:space="preserve">Steepest declines</w:t>
            </w:r>
          </w:p>
        </w:tc>
        <w:tc>
          <w:tcPr>
            <w:tcW w:type="dxa" w:w="2620"/>
            <w:shd w:fill="DCEFE8" w:val="clear"/>
            <w:tcMar>
              <w:top w:type="dxa" w:w="90"/>
              <w:left w:type="dxa" w:w="120"/>
              <w:bottom w:type="dxa" w:w="90"/>
              <w:right w:type="dxa" w:w="120"/>
            </w:tcMar>
          </w:tcPr>
          <w:p>
            <w:r>
              <w:rPr>
                <w:sz w:val="20"/>
                <w:szCs w:val="20"/>
              </w:rPr>
              <w:t xml:space="preserve">Naspers, Fawry</w:t>
            </w:r>
          </w:p>
        </w:tc>
        <w:tc>
          <w:tcPr>
            <w:tcW w:type="dxa" w:w="2620"/>
            <w:shd w:fill="DCEFE8" w:val="clear"/>
            <w:tcMar>
              <w:top w:type="dxa" w:w="90"/>
              <w:left w:type="dxa" w:w="120"/>
              <w:bottom w:type="dxa" w:w="90"/>
              <w:right w:type="dxa" w:w="120"/>
            </w:tcMar>
          </w:tcPr>
          <w:p>
            <w:r>
              <w:rPr>
                <w:sz w:val="20"/>
                <w:szCs w:val="20"/>
              </w:rPr>
              <w:t xml:space="preserve">Each down over 50%</w:t>
            </w:r>
          </w:p>
        </w:tc>
      </w:tr>
    </w:tbl>
    <w:p>
      <w:pPr>
        <w:spacing w:before="240"/>
      </w:pPr>
    </w:p>
    <w:p>
      <w:pPr>
        <w:pStyle w:val="Heading2"/>
        <w:spacing w:after="100" w:before="220"/>
      </w:pPr>
      <w:r>
        <w:rPr>
          <w:b/>
          <w:bCs/>
          <w:color w:val="0F5B4C"/>
          <w:sz w:val="23"/>
          <w:szCs w:val="23"/>
        </w:rPr>
        <w:t xml:space="preserve">Appendix B: Top 5 Gainers (2021 to 2022)</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4770"/>
        <w:gridCol w:w="2385"/>
        <w:gridCol w:w="2385"/>
      </w:tblGrid>
      <w:tr>
        <w:trPr>
          <w:tblHeader/>
        </w:trPr>
        <w:tc>
          <w:tcPr>
            <w:tcW w:type="dxa" w:w="4770"/>
            <w:shd w:fill="0F5B4C" w:val="clear"/>
            <w:tcMar>
              <w:top w:type="dxa" w:w="100"/>
              <w:left w:type="dxa" w:w="120"/>
              <w:bottom w:type="dxa" w:w="100"/>
              <w:right w:type="dxa" w:w="120"/>
            </w:tcMar>
          </w:tcPr>
          <w:p>
            <w:r>
              <w:rPr>
                <w:b/>
                <w:bCs/>
                <w:color w:val="FFFFFF"/>
                <w:sz w:val="20"/>
                <w:szCs w:val="20"/>
              </w:rPr>
              <w:t xml:space="preserve">Company</w:t>
            </w:r>
          </w:p>
        </w:tc>
        <w:tc>
          <w:tcPr>
            <w:tcW w:type="dxa" w:w="2385"/>
            <w:shd w:fill="0F5B4C" w:val="clear"/>
            <w:tcMar>
              <w:top w:type="dxa" w:w="100"/>
              <w:left w:type="dxa" w:w="120"/>
              <w:bottom w:type="dxa" w:w="100"/>
              <w:right w:type="dxa" w:w="120"/>
            </w:tcMar>
          </w:tcPr>
          <w:p>
            <w:r>
              <w:rPr>
                <w:b/>
                <w:bCs/>
                <w:color w:val="FFFFFF"/>
                <w:sz w:val="20"/>
                <w:szCs w:val="20"/>
              </w:rPr>
              <w:t xml:space="preserve">% Change</w:t>
            </w:r>
          </w:p>
        </w:tc>
        <w:tc>
          <w:tcPr>
            <w:tcW w:type="dxa" w:w="2385"/>
            <w:shd w:fill="0F5B4C" w:val="clear"/>
            <w:tcMar>
              <w:top w:type="dxa" w:w="100"/>
              <w:left w:type="dxa" w:w="120"/>
              <w:bottom w:type="dxa" w:w="100"/>
              <w:right w:type="dxa" w:w="120"/>
            </w:tcMar>
          </w:tcPr>
          <w:p>
            <w:r>
              <w:rPr>
                <w:b/>
                <w:bCs/>
                <w:color w:val="FFFFFF"/>
                <w:sz w:val="20"/>
                <w:szCs w:val="20"/>
              </w:rPr>
              <w:t xml:space="preserve">Direction</w:t>
            </w:r>
          </w:p>
        </w:tc>
      </w:tr>
      <w:tr>
        <w:tc>
          <w:tcPr>
            <w:tcW w:type="dxa" w:w="4770"/>
            <w:tcMar>
              <w:top w:type="dxa" w:w="90"/>
              <w:left w:type="dxa" w:w="120"/>
              <w:bottom w:type="dxa" w:w="90"/>
              <w:right w:type="dxa" w:w="120"/>
            </w:tcMar>
          </w:tcPr>
          <w:p>
            <w:r>
              <w:rPr>
                <w:sz w:val="20"/>
                <w:szCs w:val="20"/>
              </w:rPr>
              <w:t xml:space="preserve">Zambia Sugar</w:t>
            </w:r>
          </w:p>
        </w:tc>
        <w:tc>
          <w:tcPr>
            <w:tcW w:type="dxa" w:w="2385"/>
            <w:tcMar>
              <w:top w:type="dxa" w:w="90"/>
              <w:left w:type="dxa" w:w="120"/>
              <w:bottom w:type="dxa" w:w="90"/>
              <w:right w:type="dxa" w:w="120"/>
            </w:tcMar>
          </w:tcPr>
          <w:p>
            <w:r>
              <w:rPr>
                <w:sz w:val="20"/>
                <w:szCs w:val="20"/>
              </w:rPr>
              <w:t xml:space="preserve">+732%</w:t>
            </w:r>
          </w:p>
        </w:tc>
        <w:tc>
          <w:tcPr>
            <w:tcW w:type="dxa" w:w="2385"/>
            <w:tcMar>
              <w:top w:type="dxa" w:w="90"/>
              <w:left w:type="dxa" w:w="120"/>
              <w:bottom w:type="dxa" w:w="90"/>
              <w:right w:type="dxa" w:w="120"/>
            </w:tcMar>
          </w:tcPr>
          <w:p>
            <w:r>
              <w:rPr>
                <w:sz w:val="20"/>
                <w:szCs w:val="20"/>
              </w:rPr>
              <w:t xml:space="preserve">Gain</w:t>
            </w:r>
          </w:p>
        </w:tc>
      </w:tr>
      <w:tr>
        <w:tc>
          <w:tcPr>
            <w:tcW w:type="dxa" w:w="4770"/>
            <w:shd w:fill="DCEFE8" w:val="clear"/>
            <w:tcMar>
              <w:top w:type="dxa" w:w="90"/>
              <w:left w:type="dxa" w:w="120"/>
              <w:bottom w:type="dxa" w:w="90"/>
              <w:right w:type="dxa" w:w="120"/>
            </w:tcMar>
          </w:tcPr>
          <w:p>
            <w:r>
              <w:rPr>
                <w:sz w:val="20"/>
                <w:szCs w:val="20"/>
              </w:rPr>
              <w:t xml:space="preserve">Seed Co</w:t>
            </w:r>
          </w:p>
        </w:tc>
        <w:tc>
          <w:tcPr>
            <w:tcW w:type="dxa" w:w="2385"/>
            <w:shd w:fill="DCEFE8" w:val="clear"/>
            <w:tcMar>
              <w:top w:type="dxa" w:w="90"/>
              <w:left w:type="dxa" w:w="120"/>
              <w:bottom w:type="dxa" w:w="90"/>
              <w:right w:type="dxa" w:w="120"/>
            </w:tcMar>
          </w:tcPr>
          <w:p>
            <w:r>
              <w:rPr>
                <w:sz w:val="20"/>
                <w:szCs w:val="20"/>
              </w:rPr>
              <w:t xml:space="preserve">+395%</w:t>
            </w:r>
          </w:p>
        </w:tc>
        <w:tc>
          <w:tcPr>
            <w:tcW w:type="dxa" w:w="2385"/>
            <w:shd w:fill="DCEFE8" w:val="clear"/>
            <w:tcMar>
              <w:top w:type="dxa" w:w="90"/>
              <w:left w:type="dxa" w:w="120"/>
              <w:bottom w:type="dxa" w:w="90"/>
              <w:right w:type="dxa" w:w="120"/>
            </w:tcMar>
          </w:tcPr>
          <w:p>
            <w:r>
              <w:rPr>
                <w:sz w:val="20"/>
                <w:szCs w:val="20"/>
              </w:rPr>
              <w:t xml:space="preserve">Gain</w:t>
            </w:r>
          </w:p>
        </w:tc>
      </w:tr>
      <w:tr>
        <w:tc>
          <w:tcPr>
            <w:tcW w:type="dxa" w:w="4770"/>
            <w:tcMar>
              <w:top w:type="dxa" w:w="90"/>
              <w:left w:type="dxa" w:w="120"/>
              <w:bottom w:type="dxa" w:w="90"/>
              <w:right w:type="dxa" w:w="120"/>
            </w:tcMar>
          </w:tcPr>
          <w:p>
            <w:r>
              <w:rPr>
                <w:sz w:val="20"/>
                <w:szCs w:val="20"/>
              </w:rPr>
              <w:t xml:space="preserve">Arcelormittal South Africa</w:t>
            </w:r>
          </w:p>
        </w:tc>
        <w:tc>
          <w:tcPr>
            <w:tcW w:type="dxa" w:w="2385"/>
            <w:tcMar>
              <w:top w:type="dxa" w:w="90"/>
              <w:left w:type="dxa" w:w="120"/>
              <w:bottom w:type="dxa" w:w="90"/>
              <w:right w:type="dxa" w:w="120"/>
            </w:tcMar>
          </w:tcPr>
          <w:p>
            <w:r>
              <w:rPr>
                <w:sz w:val="20"/>
                <w:szCs w:val="20"/>
              </w:rPr>
              <w:t xml:space="preserve">+276%</w:t>
            </w:r>
          </w:p>
        </w:tc>
        <w:tc>
          <w:tcPr>
            <w:tcW w:type="dxa" w:w="2385"/>
            <w:tcMar>
              <w:top w:type="dxa" w:w="90"/>
              <w:left w:type="dxa" w:w="120"/>
              <w:bottom w:type="dxa" w:w="90"/>
              <w:right w:type="dxa" w:w="120"/>
            </w:tcMar>
          </w:tcPr>
          <w:p>
            <w:r>
              <w:rPr>
                <w:sz w:val="20"/>
                <w:szCs w:val="20"/>
              </w:rPr>
              <w:t xml:space="preserve">Gain</w:t>
            </w:r>
          </w:p>
        </w:tc>
      </w:tr>
      <w:tr>
        <w:tc>
          <w:tcPr>
            <w:tcW w:type="dxa" w:w="4770"/>
            <w:shd w:fill="DCEFE8" w:val="clear"/>
            <w:tcMar>
              <w:top w:type="dxa" w:w="90"/>
              <w:left w:type="dxa" w:w="120"/>
              <w:bottom w:type="dxa" w:w="90"/>
              <w:right w:type="dxa" w:w="120"/>
            </w:tcMar>
          </w:tcPr>
          <w:p>
            <w:r>
              <w:rPr>
                <w:sz w:val="20"/>
                <w:szCs w:val="20"/>
              </w:rPr>
              <w:t xml:space="preserve">Econet Wireless</w:t>
            </w:r>
          </w:p>
        </w:tc>
        <w:tc>
          <w:tcPr>
            <w:tcW w:type="dxa" w:w="2385"/>
            <w:shd w:fill="DCEFE8" w:val="clear"/>
            <w:tcMar>
              <w:top w:type="dxa" w:w="90"/>
              <w:left w:type="dxa" w:w="120"/>
              <w:bottom w:type="dxa" w:w="90"/>
              <w:right w:type="dxa" w:w="120"/>
            </w:tcMar>
          </w:tcPr>
          <w:p>
            <w:r>
              <w:rPr>
                <w:sz w:val="20"/>
                <w:szCs w:val="20"/>
              </w:rPr>
              <w:t xml:space="preserve">+259%</w:t>
            </w:r>
          </w:p>
        </w:tc>
        <w:tc>
          <w:tcPr>
            <w:tcW w:type="dxa" w:w="2385"/>
            <w:shd w:fill="DCEFE8" w:val="clear"/>
            <w:tcMar>
              <w:top w:type="dxa" w:w="90"/>
              <w:left w:type="dxa" w:w="120"/>
              <w:bottom w:type="dxa" w:w="90"/>
              <w:right w:type="dxa" w:w="120"/>
            </w:tcMar>
          </w:tcPr>
          <w:p>
            <w:r>
              <w:rPr>
                <w:sz w:val="20"/>
                <w:szCs w:val="20"/>
              </w:rPr>
              <w:t xml:space="preserve">Gain</w:t>
            </w:r>
          </w:p>
        </w:tc>
      </w:tr>
      <w:tr>
        <w:tc>
          <w:tcPr>
            <w:tcW w:type="dxa" w:w="4770"/>
            <w:tcMar>
              <w:top w:type="dxa" w:w="90"/>
              <w:left w:type="dxa" w:w="120"/>
              <w:bottom w:type="dxa" w:w="90"/>
              <w:right w:type="dxa" w:w="120"/>
            </w:tcMar>
          </w:tcPr>
          <w:p>
            <w:r>
              <w:rPr>
                <w:sz w:val="20"/>
                <w:szCs w:val="20"/>
              </w:rPr>
              <w:t xml:space="preserve">National Foods Holdings</w:t>
            </w:r>
          </w:p>
        </w:tc>
        <w:tc>
          <w:tcPr>
            <w:tcW w:type="dxa" w:w="2385"/>
            <w:tcMar>
              <w:top w:type="dxa" w:w="90"/>
              <w:left w:type="dxa" w:w="120"/>
              <w:bottom w:type="dxa" w:w="90"/>
              <w:right w:type="dxa" w:w="120"/>
            </w:tcMar>
          </w:tcPr>
          <w:p>
            <w:r>
              <w:rPr>
                <w:sz w:val="20"/>
                <w:szCs w:val="20"/>
              </w:rPr>
              <w:t xml:space="preserve">+238%</w:t>
            </w:r>
          </w:p>
        </w:tc>
        <w:tc>
          <w:tcPr>
            <w:tcW w:type="dxa" w:w="2385"/>
            <w:tcMar>
              <w:top w:type="dxa" w:w="90"/>
              <w:left w:type="dxa" w:w="120"/>
              <w:bottom w:type="dxa" w:w="90"/>
              <w:right w:type="dxa" w:w="120"/>
            </w:tcMar>
          </w:tcPr>
          <w:p>
            <w:r>
              <w:rPr>
                <w:sz w:val="20"/>
                <w:szCs w:val="20"/>
              </w:rPr>
              <w:t xml:space="preserve">Gain</w:t>
            </w:r>
          </w:p>
        </w:tc>
      </w:tr>
    </w:tbl>
    <w:p>
      <w:pPr>
        <w:spacing w:after="140" w:line="300"/>
      </w:pPr>
      <w:r>
        <w:rPr>
          <w:sz w:val="22"/>
          <w:szCs w:val="22"/>
        </w:rPr>
        <w:t xml:space="preserve">Medtech Holdings excluded. Its 2021 base value was too small, making its percentage growth figure misleading.</w:t>
      </w:r>
    </w:p>
    <w:p>
      <w:pPr>
        <w:pStyle w:val="Heading2"/>
        <w:spacing w:after="100" w:before="220"/>
      </w:pPr>
      <w:r>
        <w:rPr>
          <w:b/>
          <w:bCs/>
          <w:color w:val="0F5B4C"/>
          <w:sz w:val="23"/>
          <w:szCs w:val="23"/>
        </w:rPr>
        <w:t xml:space="preserve">Appendix C: Top 5 Decliners (2021 to 2022)</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4770"/>
        <w:gridCol w:w="2385"/>
        <w:gridCol w:w="2385"/>
      </w:tblGrid>
      <w:tr>
        <w:trPr>
          <w:tblHeader/>
        </w:trPr>
        <w:tc>
          <w:tcPr>
            <w:tcW w:type="dxa" w:w="4770"/>
            <w:shd w:fill="0F5B4C" w:val="clear"/>
            <w:tcMar>
              <w:top w:type="dxa" w:w="100"/>
              <w:left w:type="dxa" w:w="120"/>
              <w:bottom w:type="dxa" w:w="100"/>
              <w:right w:type="dxa" w:w="120"/>
            </w:tcMar>
          </w:tcPr>
          <w:p>
            <w:r>
              <w:rPr>
                <w:b/>
                <w:bCs/>
                <w:color w:val="FFFFFF"/>
                <w:sz w:val="20"/>
                <w:szCs w:val="20"/>
              </w:rPr>
              <w:t xml:space="preserve">Company</w:t>
            </w:r>
          </w:p>
        </w:tc>
        <w:tc>
          <w:tcPr>
            <w:tcW w:type="dxa" w:w="2385"/>
            <w:shd w:fill="0F5B4C" w:val="clear"/>
            <w:tcMar>
              <w:top w:type="dxa" w:w="100"/>
              <w:left w:type="dxa" w:w="120"/>
              <w:bottom w:type="dxa" w:w="100"/>
              <w:right w:type="dxa" w:w="120"/>
            </w:tcMar>
          </w:tcPr>
          <w:p>
            <w:r>
              <w:rPr>
                <w:b/>
                <w:bCs/>
                <w:color w:val="FFFFFF"/>
                <w:sz w:val="20"/>
                <w:szCs w:val="20"/>
              </w:rPr>
              <w:t xml:space="preserve">% Change</w:t>
            </w:r>
          </w:p>
        </w:tc>
        <w:tc>
          <w:tcPr>
            <w:tcW w:type="dxa" w:w="2385"/>
            <w:shd w:fill="0F5B4C" w:val="clear"/>
            <w:tcMar>
              <w:top w:type="dxa" w:w="100"/>
              <w:left w:type="dxa" w:w="120"/>
              <w:bottom w:type="dxa" w:w="100"/>
              <w:right w:type="dxa" w:w="120"/>
            </w:tcMar>
          </w:tcPr>
          <w:p>
            <w:r>
              <w:rPr>
                <w:b/>
                <w:bCs/>
                <w:color w:val="FFFFFF"/>
                <w:sz w:val="20"/>
                <w:szCs w:val="20"/>
              </w:rPr>
              <w:t xml:space="preserve">Direction</w:t>
            </w:r>
          </w:p>
        </w:tc>
      </w:tr>
      <w:tr>
        <w:tc>
          <w:tcPr>
            <w:tcW w:type="dxa" w:w="4770"/>
            <w:tcMar>
              <w:top w:type="dxa" w:w="90"/>
              <w:left w:type="dxa" w:w="120"/>
              <w:bottom w:type="dxa" w:w="90"/>
              <w:right w:type="dxa" w:w="120"/>
            </w:tcMar>
          </w:tcPr>
          <w:p>
            <w:r>
              <w:rPr>
                <w:sz w:val="20"/>
                <w:szCs w:val="20"/>
              </w:rPr>
              <w:t xml:space="preserve">Naspers</w:t>
            </w:r>
          </w:p>
        </w:tc>
        <w:tc>
          <w:tcPr>
            <w:tcW w:type="dxa" w:w="2385"/>
            <w:tcMar>
              <w:top w:type="dxa" w:w="90"/>
              <w:left w:type="dxa" w:w="120"/>
              <w:bottom w:type="dxa" w:w="90"/>
              <w:right w:type="dxa" w:w="120"/>
            </w:tcMar>
          </w:tcPr>
          <w:p>
            <w:r>
              <w:rPr>
                <w:sz w:val="20"/>
                <w:szCs w:val="20"/>
              </w:rPr>
              <w:t xml:space="preserve">-52%</w:t>
            </w:r>
          </w:p>
        </w:tc>
        <w:tc>
          <w:tcPr>
            <w:tcW w:type="dxa" w:w="2385"/>
            <w:tcMar>
              <w:top w:type="dxa" w:w="90"/>
              <w:left w:type="dxa" w:w="120"/>
              <w:bottom w:type="dxa" w:w="90"/>
              <w:right w:type="dxa" w:w="120"/>
            </w:tcMar>
          </w:tcPr>
          <w:p>
            <w:r>
              <w:rPr>
                <w:sz w:val="20"/>
                <w:szCs w:val="20"/>
              </w:rPr>
              <w:t xml:space="preserve">Decline</w:t>
            </w:r>
          </w:p>
        </w:tc>
      </w:tr>
      <w:tr>
        <w:tc>
          <w:tcPr>
            <w:tcW w:type="dxa" w:w="4770"/>
            <w:shd w:fill="DCEFE8" w:val="clear"/>
            <w:tcMar>
              <w:top w:type="dxa" w:w="90"/>
              <w:left w:type="dxa" w:w="120"/>
              <w:bottom w:type="dxa" w:w="90"/>
              <w:right w:type="dxa" w:w="120"/>
            </w:tcMar>
          </w:tcPr>
          <w:p>
            <w:r>
              <w:rPr>
                <w:sz w:val="20"/>
                <w:szCs w:val="20"/>
              </w:rPr>
              <w:t xml:space="preserve">Fawry for Banking Technology and Electronic Payment</w:t>
            </w:r>
          </w:p>
        </w:tc>
        <w:tc>
          <w:tcPr>
            <w:tcW w:type="dxa" w:w="2385"/>
            <w:shd w:fill="DCEFE8" w:val="clear"/>
            <w:tcMar>
              <w:top w:type="dxa" w:w="90"/>
              <w:left w:type="dxa" w:w="120"/>
              <w:bottom w:type="dxa" w:w="90"/>
              <w:right w:type="dxa" w:w="120"/>
            </w:tcMar>
          </w:tcPr>
          <w:p>
            <w:r>
              <w:rPr>
                <w:sz w:val="20"/>
                <w:szCs w:val="20"/>
              </w:rPr>
              <w:t xml:space="preserve">-52%</w:t>
            </w:r>
          </w:p>
        </w:tc>
        <w:tc>
          <w:tcPr>
            <w:tcW w:type="dxa" w:w="2385"/>
            <w:shd w:fill="DCEFE8" w:val="clear"/>
            <w:tcMar>
              <w:top w:type="dxa" w:w="90"/>
              <w:left w:type="dxa" w:w="120"/>
              <w:bottom w:type="dxa" w:w="90"/>
              <w:right w:type="dxa" w:w="120"/>
            </w:tcMar>
          </w:tcPr>
          <w:p>
            <w:r>
              <w:rPr>
                <w:sz w:val="20"/>
                <w:szCs w:val="20"/>
              </w:rPr>
              <w:t xml:space="preserve">Decline</w:t>
            </w:r>
          </w:p>
        </w:tc>
      </w:tr>
      <w:tr>
        <w:tc>
          <w:tcPr>
            <w:tcW w:type="dxa" w:w="4770"/>
            <w:tcMar>
              <w:top w:type="dxa" w:w="90"/>
              <w:left w:type="dxa" w:w="120"/>
              <w:bottom w:type="dxa" w:w="90"/>
              <w:right w:type="dxa" w:w="120"/>
            </w:tcMar>
          </w:tcPr>
          <w:p>
            <w:r>
              <w:rPr>
                <w:sz w:val="20"/>
                <w:szCs w:val="20"/>
              </w:rPr>
              <w:t xml:space="preserve">CBZ</w:t>
            </w:r>
          </w:p>
        </w:tc>
        <w:tc>
          <w:tcPr>
            <w:tcW w:type="dxa" w:w="2385"/>
            <w:tcMar>
              <w:top w:type="dxa" w:w="90"/>
              <w:left w:type="dxa" w:w="120"/>
              <w:bottom w:type="dxa" w:w="90"/>
              <w:right w:type="dxa" w:w="120"/>
            </w:tcMar>
          </w:tcPr>
          <w:p>
            <w:r>
              <w:rPr>
                <w:sz w:val="20"/>
                <w:szCs w:val="20"/>
              </w:rPr>
              <w:t xml:space="preserve">-42%</w:t>
            </w:r>
          </w:p>
        </w:tc>
        <w:tc>
          <w:tcPr>
            <w:tcW w:type="dxa" w:w="2385"/>
            <w:tcMar>
              <w:top w:type="dxa" w:w="90"/>
              <w:left w:type="dxa" w:w="120"/>
              <w:bottom w:type="dxa" w:w="90"/>
              <w:right w:type="dxa" w:w="120"/>
            </w:tcMar>
          </w:tcPr>
          <w:p>
            <w:r>
              <w:rPr>
                <w:sz w:val="20"/>
                <w:szCs w:val="20"/>
              </w:rPr>
              <w:t xml:space="preserve">Decline</w:t>
            </w:r>
          </w:p>
        </w:tc>
      </w:tr>
      <w:tr>
        <w:tc>
          <w:tcPr>
            <w:tcW w:type="dxa" w:w="4770"/>
            <w:shd w:fill="DCEFE8" w:val="clear"/>
            <w:tcMar>
              <w:top w:type="dxa" w:w="90"/>
              <w:left w:type="dxa" w:w="120"/>
              <w:bottom w:type="dxa" w:w="90"/>
              <w:right w:type="dxa" w:w="120"/>
            </w:tcMar>
          </w:tcPr>
          <w:p>
            <w:r>
              <w:rPr>
                <w:sz w:val="20"/>
                <w:szCs w:val="20"/>
              </w:rPr>
              <w:t xml:space="preserve">Northam Platinum</w:t>
            </w:r>
          </w:p>
        </w:tc>
        <w:tc>
          <w:tcPr>
            <w:tcW w:type="dxa" w:w="2385"/>
            <w:shd w:fill="DCEFE8" w:val="clear"/>
            <w:tcMar>
              <w:top w:type="dxa" w:w="90"/>
              <w:left w:type="dxa" w:w="120"/>
              <w:bottom w:type="dxa" w:w="90"/>
              <w:right w:type="dxa" w:w="120"/>
            </w:tcMar>
          </w:tcPr>
          <w:p>
            <w:r>
              <w:rPr>
                <w:sz w:val="20"/>
                <w:szCs w:val="20"/>
              </w:rPr>
              <w:t xml:space="preserve">-33%</w:t>
            </w:r>
          </w:p>
        </w:tc>
        <w:tc>
          <w:tcPr>
            <w:tcW w:type="dxa" w:w="2385"/>
            <w:shd w:fill="DCEFE8" w:val="clear"/>
            <w:tcMar>
              <w:top w:type="dxa" w:w="90"/>
              <w:left w:type="dxa" w:w="120"/>
              <w:bottom w:type="dxa" w:w="90"/>
              <w:right w:type="dxa" w:w="120"/>
            </w:tcMar>
          </w:tcPr>
          <w:p>
            <w:r>
              <w:rPr>
                <w:sz w:val="20"/>
                <w:szCs w:val="20"/>
              </w:rPr>
              <w:t xml:space="preserve">Decline</w:t>
            </w:r>
          </w:p>
        </w:tc>
      </w:tr>
      <w:tr>
        <w:tc>
          <w:tcPr>
            <w:tcW w:type="dxa" w:w="4770"/>
            <w:tcMar>
              <w:top w:type="dxa" w:w="90"/>
              <w:left w:type="dxa" w:w="120"/>
              <w:bottom w:type="dxa" w:w="90"/>
              <w:right w:type="dxa" w:w="120"/>
            </w:tcMar>
          </w:tcPr>
          <w:p>
            <w:r>
              <w:rPr>
                <w:sz w:val="20"/>
                <w:szCs w:val="20"/>
              </w:rPr>
              <w:t xml:space="preserve">Guaranty Trust Holding Company</w:t>
            </w:r>
          </w:p>
        </w:tc>
        <w:tc>
          <w:tcPr>
            <w:tcW w:type="dxa" w:w="2385"/>
            <w:tcMar>
              <w:top w:type="dxa" w:w="90"/>
              <w:left w:type="dxa" w:w="120"/>
              <w:bottom w:type="dxa" w:w="90"/>
              <w:right w:type="dxa" w:w="120"/>
            </w:tcMar>
          </w:tcPr>
          <w:p>
            <w:r>
              <w:rPr>
                <w:sz w:val="20"/>
                <w:szCs w:val="20"/>
              </w:rPr>
              <w:t xml:space="preserve">-33%</w:t>
            </w:r>
          </w:p>
        </w:tc>
        <w:tc>
          <w:tcPr>
            <w:tcW w:type="dxa" w:w="2385"/>
            <w:tcMar>
              <w:top w:type="dxa" w:w="90"/>
              <w:left w:type="dxa" w:w="120"/>
              <w:bottom w:type="dxa" w:w="90"/>
              <w:right w:type="dxa" w:w="120"/>
            </w:tcMar>
          </w:tcPr>
          <w:p>
            <w:r>
              <w:rPr>
                <w:sz w:val="20"/>
                <w:szCs w:val="20"/>
              </w:rPr>
              <w:t xml:space="preserve">Decline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2026-08-25T01:23:17.868Z</dcterms:created>
  <dcterms:modified xsi:type="dcterms:W3CDTF">2026-08-25T01:23:17.879Z</dcterms:modified>
</cp:coreProperties>
</file>

<file path=docProps/custom.xml><?xml version="1.0" encoding="utf-8"?>
<Properties xmlns="http://schemas.openxmlformats.org/officeDocument/2006/custom-properties" xmlns:vt="http://schemas.openxmlformats.org/officeDocument/2006/docPropsVTypes"/>
</file>