
<file path=[Content_Types].xml><?xml version="1.0" encoding="utf-8"?>
<Types xmlns="http://schemas.openxmlformats.org/package/2006/content-types">
  <Default Extension="xml" ContentType="application/xml"/>
  <Default Extension="png" ContentType="image/png"/>
  <Default Extension="jpeg" ContentType="image/jpeg"/>
  <Default Extension="bmp" ContentType="image/bmp"/>
  <Default Extension="jpg" ContentType="image/jpeg"/>
  <Default Extension="gif" ContentType="image/gif"/>
  <Default Extension="svg" ContentType="image/svg+xml"/>
  <Default Extension="rels" ContentType="application/vnd.openxmlformats-package.relationships+xml"/>
  <Default Extension="odttf" ContentType="application/vnd.openxmlformats-officedocument.obfuscatedFont"/>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body>
    <w:p w14:paraId="00000005">
      <w:pPr>
        <w:spacing w:before="2880" w:after="400"/>
        <w:jc w:val="center"/>
        <w:rPr/>
      </w:pPr>
      <w:r>
        <w:rPr>
          <w:rFonts w:ascii="Calibri" w:cs="Calibri" w:eastAsia="Calibri" w:hAnsi="Calibri"/>
          <w:b/>
          <w:bCs/>
          <w:color w:val="1f3864"/>
          <w:sz w:val="48"/>
          <w:szCs w:val="48"/>
        </w:rPr>
        <w:t>TECHNICAL REPORT</w:t>
      </w:r>
    </w:p>
    <w:p w14:paraId="00000006">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center"/>
        <w:rPr>
          <w:rFonts w:ascii="Segoe UI"/>
          <w:color w:val="000000"/>
          <w:sz w:val="36"/>
          <w:lang w:val="en-US"/>
        </w:rPr>
      </w:pPr>
      <w:r>
        <w:rPr>
          <w:rFonts w:ascii="Calibri" w:cs="Calibri" w:eastAsia="Calibri" w:hAnsi="Calibri"/>
          <w:b/>
          <w:bCs/>
          <w:color w:val="2e74b5"/>
          <w:sz w:val="40"/>
          <w:szCs w:val="40"/>
          <w:lang w:val="en-US"/>
        </w:rPr>
        <w:t>Habourview Retail Super Mart</w:t>
      </w:r>
    </w:p>
    <w:p w14:paraId="00000007">
      <w:pPr>
        <w:spacing w:after="200"/>
        <w:jc w:val="center"/>
        <w:rPr/>
      </w:pPr>
    </w:p>
    <w:p w14:paraId="00000008">
      <w:pPr>
        <w:spacing w:after="200"/>
        <w:jc w:val="center"/>
        <w:rPr/>
      </w:pPr>
      <w:r>
        <w:rPr>
          <w:rFonts w:ascii="Calibri" w:cs="Calibri" w:eastAsia="Calibri" w:hAnsi="Calibri"/>
          <w:color w:val="404040"/>
          <w:sz w:val="32"/>
          <w:szCs w:val="32"/>
        </w:rPr>
        <w:t>Sales Performance Analysis for Year 2014</w:t>
      </w:r>
    </w:p>
    <w:p w14:paraId="00000009">
      <w:pPr>
        <w:spacing w:before="400" w:after="200"/>
        <w:jc w:val="center"/>
        <w:rPr/>
      </w:pPr>
      <w:r>
        <w:rPr>
          <w:rFonts w:ascii="Calibri" w:cs="Calibri" w:eastAsia="Calibri" w:hAnsi="Calibri"/>
          <w:color w:val="595959"/>
          <w:sz w:val="24"/>
          <w:szCs w:val="24"/>
        </w:rPr>
        <w:t>Prepared by:</w:t>
      </w:r>
    </w:p>
    <w:p w14:paraId="0000000A">
      <w:pPr>
        <w:spacing w:after="100"/>
        <w:jc w:val="center"/>
        <w:rPr/>
      </w:pPr>
      <w:r>
        <w:rPr>
          <w:rFonts w:ascii="Calibri" w:cs="Calibri" w:eastAsia="Calibri" w:hAnsi="Calibri"/>
          <w:b/>
          <w:bCs/>
          <w:color w:val="1f3864"/>
          <w:sz w:val="28"/>
          <w:szCs w:val="28"/>
        </w:rPr>
        <w:t>George Nzubechi Chibuikem</w:t>
      </w:r>
    </w:p>
    <w:p w14:paraId="0000000B">
      <w:pPr>
        <w:spacing w:after="100"/>
        <w:jc w:val="center"/>
        <w:rPr/>
      </w:pPr>
      <w:r>
        <w:rPr>
          <w:rFonts w:ascii="Calibri" w:cs="Calibri" w:eastAsia="Calibri" w:hAnsi="Calibri"/>
          <w:color w:val="595959"/>
          <w:sz w:val="24"/>
          <w:szCs w:val="24"/>
        </w:rPr>
        <w:t>Student ID: VEPH/50B/DA079</w:t>
      </w:r>
    </w:p>
    <w:p w14:paraId="0000000C">
      <w:pPr>
        <w:spacing w:after="100"/>
        <w:jc w:val="center"/>
        <w:rPr/>
      </w:pPr>
      <w:r>
        <w:rPr>
          <w:rFonts w:ascii="Calibri" w:cs="Calibri" w:eastAsia="Calibri" w:hAnsi="Calibri"/>
          <w:color w:val="595959"/>
          <w:sz w:val="24"/>
          <w:szCs w:val="24"/>
        </w:rPr>
        <w:t>Data Analytics Programme</w:t>
      </w:r>
    </w:p>
    <w:p w14:paraId="0000000D">
      <w:pPr>
        <w:spacing w:after="100"/>
        <w:jc w:val="center"/>
        <w:rPr/>
      </w:pPr>
      <w:r>
        <w:rPr>
          <w:rFonts w:ascii="Calibri" w:cs="Calibri" w:eastAsia="Calibri" w:hAnsi="Calibri"/>
          <w:b/>
          <w:bCs/>
          <w:color w:val="2e74b5"/>
          <w:sz w:val="24"/>
          <w:szCs w:val="24"/>
        </w:rPr>
        <w:t>Vephla University</w:t>
      </w:r>
    </w:p>
    <w:p w14:paraId="0000000E">
      <w:pPr>
        <w:spacing w:before="400"/>
        <w:jc w:val="center"/>
        <w:rPr/>
      </w:pPr>
      <w:r>
        <w:rPr>
          <w:rFonts w:ascii="Calibri" w:cs="Calibri" w:eastAsia="Calibri" w:hAnsi="Calibri"/>
          <w:color w:val="595959"/>
          <w:sz w:val="24"/>
          <w:szCs w:val="24"/>
        </w:rPr>
        <w:t>2026</w:t>
      </w:r>
    </w:p>
    <w:p w14:paraId="0000000F">
      <w:r>
        <w:rPr/>
        <w:br w:type="page"/>
      </w:r>
    </w:p>
    <w:p w14:paraId="00000010">
      <w:pPr>
        <w:pStyle w:val="Heading1"/>
        <w:rPr/>
      </w:pPr>
      <w:r>
        <w:t>1. Outline</w:t>
      </w:r>
    </w:p>
    <w:p w14:paraId="00000011">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pPr>
      <w:r>
        <w:rPr>
          <w:rFonts w:ascii="Calibri" w:cs="Calibri" w:eastAsia="Calibri" w:hAnsi="Calibri"/>
          <w:sz w:val="24"/>
          <w:szCs w:val="24"/>
        </w:rPr>
        <w:t xml:space="preserve">This report presents a comprehensive analytical review of </w:t>
      </w:r>
      <w:r>
        <w:rPr>
          <w:rFonts w:asciiTheme="minorAscii" w:cstheme="minorAscii" w:eastAsiaTheme="minorAscii" w:hAnsiTheme="minorAscii"/>
          <w:color w:val="000000"/>
          <w:sz w:val="24"/>
          <w:szCs w:val="24"/>
          <w:rtl w:val="off"/>
          <w:lang w:val="en-US"/>
        </w:rPr>
        <w:t>Habourview Retail Super Mart</w:t>
      </w:r>
      <w:r>
        <w:rPr>
          <w:rFonts w:ascii="Calibri" w:cs="Calibri" w:eastAsia="Calibri" w:hAnsi="Calibri"/>
          <w:sz w:val="24"/>
          <w:szCs w:val="24"/>
        </w:rPr>
        <w:t>'s sales performance for the year 2014. The report is structured as follows:</w:t>
      </w:r>
    </w:p>
    <w:p w14:paraId="00000012">
      <w:pPr>
        <w:pStyle w:val="ListParagraph"/>
        <w:numPr>
          <w:ilvl w:val="0"/>
          <w:numId w:val="2"/>
        </w:numPr>
        <w:rPr/>
      </w:pPr>
      <w:r>
        <w:rPr>
          <w:rFonts w:ascii="Calibri" w:cs="Calibri" w:eastAsia="Calibri" w:hAnsi="Calibri"/>
          <w:sz w:val="24"/>
          <w:szCs w:val="24"/>
        </w:rPr>
        <w:t>Introduction</w:t>
      </w:r>
    </w:p>
    <w:p w14:paraId="00000013">
      <w:pPr>
        <w:pStyle w:val="ListParagraph"/>
        <w:numPr>
          <w:ilvl w:val="0"/>
          <w:numId w:val="2"/>
        </w:numPr>
        <w:rPr/>
      </w:pPr>
      <w:r>
        <w:rPr>
          <w:rFonts w:ascii="Calibri" w:cs="Calibri" w:eastAsia="Calibri" w:hAnsi="Calibri"/>
          <w:sz w:val="24"/>
          <w:szCs w:val="24"/>
        </w:rPr>
        <w:t>Story of Data</w:t>
      </w:r>
    </w:p>
    <w:p w14:paraId="00000014">
      <w:pPr>
        <w:pStyle w:val="ListParagraph"/>
        <w:numPr>
          <w:ilvl w:val="0"/>
          <w:numId w:val="2"/>
        </w:numPr>
        <w:rPr/>
      </w:pPr>
      <w:r>
        <w:rPr>
          <w:rFonts w:ascii="Calibri" w:cs="Calibri" w:eastAsia="Calibri" w:hAnsi="Calibri"/>
          <w:sz w:val="24"/>
          <w:szCs w:val="24"/>
        </w:rPr>
        <w:t>Data Splitting and Preprocessing</w:t>
      </w:r>
    </w:p>
    <w:p w14:paraId="00000015">
      <w:pPr>
        <w:pStyle w:val="ListParagraph"/>
        <w:numPr>
          <w:ilvl w:val="0"/>
          <w:numId w:val="2"/>
        </w:numPr>
        <w:rPr/>
      </w:pPr>
      <w:r>
        <w:rPr>
          <w:rFonts w:ascii="Calibri" w:cs="Calibri" w:eastAsia="Calibri" w:hAnsi="Calibri"/>
          <w:sz w:val="24"/>
          <w:szCs w:val="24"/>
        </w:rPr>
        <w:t>Pre-Analysis</w:t>
      </w:r>
    </w:p>
    <w:p w14:paraId="00000016">
      <w:pPr>
        <w:pStyle w:val="ListParagraph"/>
        <w:numPr>
          <w:ilvl w:val="0"/>
          <w:numId w:val="2"/>
        </w:numPr>
        <w:rPr/>
      </w:pPr>
      <w:r>
        <w:rPr>
          <w:rFonts w:ascii="Calibri" w:cs="Calibri" w:eastAsia="Calibri" w:hAnsi="Calibri"/>
          <w:sz w:val="24"/>
          <w:szCs w:val="24"/>
        </w:rPr>
        <w:t>In-Analysis</w:t>
      </w:r>
    </w:p>
    <w:p w14:paraId="00000017">
      <w:pPr>
        <w:pStyle w:val="ListParagraph"/>
        <w:numPr>
          <w:ilvl w:val="0"/>
          <w:numId w:val="2"/>
        </w:numPr>
        <w:rPr/>
      </w:pPr>
      <w:r>
        <w:rPr>
          <w:rFonts w:ascii="Calibri" w:cs="Calibri" w:eastAsia="Calibri" w:hAnsi="Calibri"/>
          <w:sz w:val="24"/>
          <w:szCs w:val="24"/>
        </w:rPr>
        <w:t>Post-Analysis and Insights</w:t>
      </w:r>
    </w:p>
    <w:p w14:paraId="00000018">
      <w:pPr>
        <w:pStyle w:val="ListParagraph"/>
        <w:numPr>
          <w:ilvl w:val="0"/>
          <w:numId w:val="2"/>
        </w:numPr>
        <w:rPr/>
      </w:pPr>
      <w:r>
        <w:rPr>
          <w:rFonts w:ascii="Calibri" w:cs="Calibri" w:eastAsia="Calibri" w:hAnsi="Calibri"/>
          <w:sz w:val="24"/>
          <w:szCs w:val="24"/>
        </w:rPr>
        <w:t>Data Visualizations &amp; Charts</w:t>
      </w:r>
    </w:p>
    <w:p w14:paraId="00000019">
      <w:pPr>
        <w:pStyle w:val="ListParagraph"/>
        <w:numPr>
          <w:ilvl w:val="0"/>
          <w:numId w:val="2"/>
        </w:numPr>
        <w:rPr/>
      </w:pPr>
      <w:r>
        <w:rPr>
          <w:rFonts w:ascii="Calibri" w:cs="Calibri" w:eastAsia="Calibri" w:hAnsi="Calibri"/>
          <w:sz w:val="24"/>
          <w:szCs w:val="24"/>
        </w:rPr>
        <w:t>Recommendations and Observations</w:t>
      </w:r>
    </w:p>
    <w:p w14:paraId="0000001A">
      <w:pPr>
        <w:pStyle w:val="ListParagraph"/>
        <w:numPr>
          <w:ilvl w:val="0"/>
          <w:numId w:val="2"/>
        </w:numPr>
        <w:rPr/>
      </w:pPr>
      <w:r>
        <w:rPr>
          <w:rFonts w:ascii="Calibri" w:cs="Calibri" w:eastAsia="Calibri" w:hAnsi="Calibri"/>
          <w:sz w:val="24"/>
          <w:szCs w:val="24"/>
        </w:rPr>
        <w:t>Conclusion</w:t>
      </w:r>
    </w:p>
    <w:p w14:paraId="0000001B">
      <w:pPr>
        <w:pStyle w:val="ListParagraph"/>
        <w:numPr>
          <w:ilvl w:val="0"/>
          <w:numId w:val="2"/>
        </w:numPr>
        <w:rPr/>
      </w:pPr>
      <w:r>
        <w:rPr>
          <w:rFonts w:ascii="Calibri" w:cs="Calibri" w:eastAsia="Calibri" w:hAnsi="Calibri"/>
          <w:sz w:val="24"/>
          <w:szCs w:val="24"/>
        </w:rPr>
        <w:t>References &amp; Appendices</w:t>
      </w:r>
    </w:p>
    <w:p w14:paraId="0000001C">
      <w:r>
        <w:rPr/>
        <w:br w:type="page"/>
      </w:r>
    </w:p>
    <w:p w14:paraId="0000001D">
      <w:pPr>
        <w:pStyle w:val="Heading1"/>
        <w:rPr/>
      </w:pPr>
      <w:r>
        <w:t>2. Introduction</w:t>
      </w:r>
    </w:p>
    <w:p w14:paraId="0000001E">
      <w:pPr>
        <w:pStyle w:val="Heading2"/>
        <w:rPr/>
      </w:pPr>
      <w:r>
        <w:t>2.1 Objective of the Project</w:t>
      </w:r>
    </w:p>
    <w:p w14:paraId="0000001F">
      <w:pPr>
        <w:spacing w:after="160"/>
        <w:rPr/>
      </w:pPr>
      <w:r>
        <w:rPr>
          <w:rFonts w:ascii="Calibri" w:cs="Calibri" w:eastAsia="Calibri" w:hAnsi="Calibri"/>
          <w:sz w:val="24"/>
          <w:szCs w:val="24"/>
        </w:rPr>
        <w:t xml:space="preserve">The primary objective of this analysis was to examine the 2014 sales performance of </w:t>
      </w:r>
      <w:r>
        <w:rPr>
          <w:rFonts w:asciiTheme="minorAscii" w:cstheme="minorAscii" w:eastAsiaTheme="minorAscii" w:hAnsiTheme="minorAscii"/>
          <w:color w:val="000000"/>
          <w:sz w:val="24"/>
          <w:szCs w:val="24"/>
          <w:rtl w:val="off"/>
          <w:lang w:val="en-US"/>
        </w:rPr>
        <w:t>Habourview Retail Super Mart</w:t>
      </w:r>
      <w:r>
        <w:rPr>
          <w:rFonts w:ascii="Calibri" w:cs="Calibri" w:eastAsia="Calibri" w:hAnsi="Calibri"/>
          <w:sz w:val="24"/>
          <w:szCs w:val="24"/>
        </w:rPr>
        <w:t xml:space="preserve"> across multiple business dimensions — including sales representatives, product categories, geographic regions, cities, and monthly trends. The goal was to transform raw transactional data into meaningful, actionable business insights that can inform strategic decision-making for the coming year.</w:t>
      </w:r>
    </w:p>
    <w:p w14:paraId="00000020">
      <w:pPr>
        <w:pStyle w:val="Heading2"/>
        <w:rPr/>
      </w:pPr>
      <w:r>
        <w:t>2.2 Problem Being Addressed</w:t>
      </w:r>
    </w:p>
    <w:p w14:paraId="00000021">
      <w:pPr>
        <w:spacing w:after="160"/>
        <w:rPr/>
      </w:pPr>
      <w:r>
        <w:rPr>
          <w:rFonts w:ascii="Calibri" w:cs="Calibri" w:eastAsia="Calibri" w:hAnsi="Calibri"/>
          <w:sz w:val="24"/>
          <w:szCs w:val="24"/>
        </w:rPr>
        <w:t>The analysis set out to answer a critical business question: Where is the business's revenue really coming from, and what structural risks or growth opportunities exist beneath the surface of its overall performance? By examining patterns across salespersons, regions, products, and cities, the report aims to identify both the drivers of success and the vulnerabilities that could threaten future stability.</w:t>
      </w:r>
    </w:p>
    <w:p w14:paraId="00000022">
      <w:pPr>
        <w:pStyle w:val="Heading2"/>
        <w:rPr/>
      </w:pPr>
      <w:r>
        <w:t>2.3 Key Datasets and Methodologies</w:t>
      </w:r>
    </w:p>
    <w:p w14:paraId="00000023">
      <w:pPr>
        <w:spacing w:after="120"/>
        <w:rPr/>
      </w:pPr>
      <w:r>
        <w:rPr>
          <w:rFonts w:ascii="Calibri" w:cs="Calibri" w:eastAsia="Calibri" w:hAnsi="Calibri"/>
          <w:sz w:val="24"/>
          <w:szCs w:val="24"/>
        </w:rPr>
        <w:t xml:space="preserve">The dataset used for this analysis was the </w:t>
      </w:r>
      <w:r>
        <w:rPr>
          <w:rFonts w:asciiTheme="minorAscii" w:cstheme="minorAscii" w:eastAsiaTheme="minorAscii" w:hAnsiTheme="minorAscii"/>
          <w:color w:val="000000"/>
          <w:sz w:val="24"/>
          <w:szCs w:val="24"/>
          <w:rtl w:val="off"/>
          <w:lang w:val="en-US"/>
        </w:rPr>
        <w:t>Habourview Retail Super Mart</w:t>
      </w:r>
      <w:r>
        <w:rPr>
          <w:rFonts w:ascii="Calibri" w:cs="Calibri" w:eastAsia="Calibri" w:hAnsi="Calibri"/>
          <w:sz w:val="24"/>
          <w:szCs w:val="24"/>
        </w:rPr>
        <w:t xml:space="preserve"> 2014 transactional sales dataset, containing 369 order records across 26 columns including Order ID, Order Date, Customer Name, Salesperson, Region, Ship City, Product Name, Category, Unit Price, Quantity, Revenue, and Shipping Fee. The analysis was conducted entirely in Microsoft Excel using the following tools and techniques:</w:t>
      </w:r>
    </w:p>
    <w:p w14:paraId="00000024">
      <w:pPr>
        <w:pStyle w:val="ListParagraph"/>
        <w:numPr>
          <w:ilvl w:val="0"/>
          <w:numId w:val="2"/>
        </w:numPr>
        <w:rPr/>
      </w:pPr>
      <w:r>
        <w:rPr>
          <w:rFonts w:ascii="Calibri" w:cs="Calibri" w:eastAsia="Calibri" w:hAnsi="Calibri"/>
          <w:sz w:val="24"/>
          <w:szCs w:val="24"/>
        </w:rPr>
        <w:t>Pivot Tables — for aggregating and summarising sales by salesperson, region, product category, and city</w:t>
      </w:r>
    </w:p>
    <w:p w14:paraId="00000025">
      <w:pPr>
        <w:pStyle w:val="ListParagraph"/>
        <w:numPr>
          <w:ilvl w:val="0"/>
          <w:numId w:val="2"/>
        </w:numPr>
        <w:rPr/>
      </w:pPr>
      <w:r>
        <w:rPr>
          <w:rFonts w:ascii="Calibri" w:cs="Calibri" w:eastAsia="Calibri" w:hAnsi="Calibri"/>
          <w:sz w:val="24"/>
          <w:szCs w:val="24"/>
        </w:rPr>
        <w:t>VLOOKUP — for cross-referencing data across sheets</w:t>
      </w:r>
    </w:p>
    <w:p w14:paraId="00000026">
      <w:pPr>
        <w:pStyle w:val="ListParagraph"/>
        <w:numPr>
          <w:ilvl w:val="0"/>
          <w:numId w:val="2"/>
        </w:numPr>
        <w:rPr/>
      </w:pPr>
      <w:r>
        <w:rPr>
          <w:rFonts w:ascii="Calibri" w:cs="Calibri" w:eastAsia="Calibri" w:hAnsi="Calibri"/>
          <w:sz w:val="24"/>
          <w:szCs w:val="24"/>
        </w:rPr>
        <w:t>Conditional Formatting — for highlighting performance trends</w:t>
      </w:r>
    </w:p>
    <w:p w14:paraId="00000027">
      <w:pPr>
        <w:pStyle w:val="ListParagraph"/>
        <w:numPr>
          <w:ilvl w:val="0"/>
          <w:numId w:val="2"/>
        </w:numPr>
        <w:rPr/>
      </w:pPr>
      <w:r>
        <w:rPr>
          <w:rFonts w:ascii="Calibri" w:cs="Calibri" w:eastAsia="Calibri" w:hAnsi="Calibri"/>
          <w:sz w:val="24"/>
          <w:szCs w:val="24"/>
        </w:rPr>
        <w:t>Data Validation — for ensuring data integrity</w:t>
      </w:r>
    </w:p>
    <w:p w14:paraId="00000028">
      <w:pPr>
        <w:pStyle w:val="ListParagraph"/>
        <w:numPr>
          <w:ilvl w:val="0"/>
          <w:numId w:val="2"/>
        </w:numPr>
        <w:rPr/>
      </w:pPr>
      <w:r>
        <w:rPr>
          <w:rFonts w:ascii="Calibri" w:cs="Calibri" w:eastAsia="Calibri" w:hAnsi="Calibri"/>
          <w:sz w:val="24"/>
          <w:szCs w:val="24"/>
        </w:rPr>
        <w:t>Charts and Visualisations — including bar charts, pie charts, line graphs, treemaps, radar charts, and a map chart</w:t>
      </w:r>
    </w:p>
    <w:p w14:paraId="00000029">
      <w:pPr>
        <w:pStyle w:val="ListParagraph"/>
        <w:numPr>
          <w:ilvl w:val="0"/>
          <w:numId w:val="2"/>
        </w:numPr>
        <w:rPr/>
      </w:pPr>
      <w:r>
        <w:rPr>
          <w:rFonts w:ascii="Calibri" w:cs="Calibri" w:eastAsia="Calibri" w:hAnsi="Calibri"/>
          <w:sz w:val="24"/>
          <w:szCs w:val="24"/>
        </w:rPr>
        <w:t>Interactive Dashboard — with slicers for dynamic filtering by salesperson and product</w:t>
      </w:r>
    </w:p>
    <w:p w14:paraId="0000002A">
      <w:r>
        <w:rPr/>
        <w:br w:type="page"/>
      </w:r>
    </w:p>
    <w:p w14:paraId="0000002B">
      <w:pPr>
        <w:pStyle w:val="Heading1"/>
        <w:rPr/>
      </w:pPr>
      <w:r>
        <w:t>3. Story of Data</w:t>
      </w:r>
    </w:p>
    <w:p w14:paraId="0000002C">
      <w:pPr>
        <w:pStyle w:val="Heading2"/>
        <w:rPr/>
      </w:pPr>
      <w:r>
        <w:t>3.1 Data Source</w:t>
      </w:r>
    </w:p>
    <w:p w14:paraId="0000002D">
      <w:pPr>
        <w:spacing w:after="160"/>
        <w:rPr/>
      </w:pPr>
      <w:r>
        <w:rPr>
          <w:rFonts w:ascii="Calibri" w:cs="Calibri" w:eastAsia="Calibri" w:hAnsi="Calibri"/>
          <w:sz w:val="24"/>
          <w:szCs w:val="24"/>
        </w:rPr>
        <w:t xml:space="preserve">The dataset was sourced from the </w:t>
      </w:r>
      <w:r>
        <w:rPr>
          <w:rFonts w:asciiTheme="minorAscii" w:cstheme="minorAscii" w:eastAsiaTheme="minorAscii" w:hAnsiTheme="minorAscii"/>
          <w:color w:val="000000"/>
          <w:sz w:val="24"/>
          <w:szCs w:val="24"/>
          <w:rtl w:val="off"/>
          <w:lang w:val="en-US"/>
        </w:rPr>
        <w:t>Habourview Retail Super Mart</w:t>
      </w:r>
      <w:r>
        <w:rPr>
          <w:rFonts w:ascii="Calibri" w:cs="Calibri" w:eastAsia="Calibri" w:hAnsi="Calibri"/>
          <w:sz w:val="24"/>
          <w:szCs w:val="24"/>
        </w:rPr>
        <w:t xml:space="preserve"> internal sales database, representing all transactional records for the calendar year 2014. The data was provided as part of the Vephla University Data Analytics Programme coursework (Task 21).</w:t>
      </w:r>
    </w:p>
    <w:p w14:paraId="0000002E">
      <w:pPr>
        <w:pStyle w:val="Heading2"/>
        <w:rPr/>
      </w:pPr>
      <w:r>
        <w:t>3.2 Data Collection Process</w:t>
      </w:r>
    </w:p>
    <w:p w14:paraId="0000002F">
      <w:pPr>
        <w:spacing w:after="160"/>
        <w:rPr/>
      </w:pPr>
      <w:r>
        <w:rPr>
          <w:rFonts w:ascii="Calibri" w:cs="Calibri" w:eastAsia="Calibri" w:hAnsi="Calibri"/>
          <w:sz w:val="24"/>
          <w:szCs w:val="24"/>
        </w:rPr>
        <w:t>The data was collected through the company's internal order management system, capturing individual transactions as they occurred throughout the year. Each row in the dataset represents a single product line within an order, recording the salesperson responsible, the customer, product details, quantities, revenue generated, and shipping information.</w:t>
      </w:r>
    </w:p>
    <w:p w14:paraId="00000030">
      <w:pPr>
        <w:pStyle w:val="Heading2"/>
        <w:rPr/>
      </w:pPr>
      <w:r>
        <w:t>3.3 Data Structure</w:t>
      </w:r>
    </w:p>
    <w:p w14:paraId="00000031">
      <w:pPr>
        <w:spacing w:after="120"/>
        <w:rPr/>
      </w:pPr>
      <w:r>
        <w:rPr>
          <w:rFonts w:ascii="Calibri" w:cs="Calibri" w:eastAsia="Calibri" w:hAnsi="Calibri"/>
          <w:sz w:val="24"/>
          <w:szCs w:val="24"/>
        </w:rPr>
        <w:t>The dataset is structured in a tabular format with rows representing individual order line items and columns capturing different variables. Key columns include:</w:t>
      </w:r>
    </w:p>
    <w:p w14:paraId="00000032">
      <w:pPr>
        <w:pStyle w:val="ListParagraph"/>
        <w:numPr>
          <w:ilvl w:val="0"/>
          <w:numId w:val="2"/>
        </w:numPr>
        <w:rPr/>
      </w:pPr>
      <w:r>
        <w:rPr>
          <w:rFonts w:ascii="Calibri" w:cs="Calibri" w:eastAsia="Calibri" w:hAnsi="Calibri"/>
          <w:sz w:val="24"/>
          <w:szCs w:val="24"/>
        </w:rPr>
        <w:t>Order ID and Order Date — transaction identifiers and timing</w:t>
      </w:r>
    </w:p>
    <w:p w14:paraId="00000033">
      <w:pPr>
        <w:pStyle w:val="ListParagraph"/>
        <w:numPr>
          <w:ilvl w:val="0"/>
          <w:numId w:val="2"/>
        </w:numPr>
        <w:rPr/>
      </w:pPr>
      <w:r>
        <w:rPr>
          <w:rFonts w:ascii="Calibri" w:cs="Calibri" w:eastAsia="Calibri" w:hAnsi="Calibri"/>
          <w:sz w:val="24"/>
          <w:szCs w:val="24"/>
        </w:rPr>
        <w:t>Customer ID and Customer Name — buyer identification</w:t>
      </w:r>
    </w:p>
    <w:p w14:paraId="00000034">
      <w:pPr>
        <w:pStyle w:val="ListParagraph"/>
        <w:numPr>
          <w:ilvl w:val="0"/>
          <w:numId w:val="2"/>
        </w:numPr>
        <w:rPr/>
      </w:pPr>
      <w:r>
        <w:rPr>
          <w:rFonts w:ascii="Calibri" w:cs="Calibri" w:eastAsia="Calibri" w:hAnsi="Calibri"/>
          <w:sz w:val="24"/>
          <w:szCs w:val="24"/>
        </w:rPr>
        <w:t>Salesperson and Region — who made the sale and in which territory</w:t>
      </w:r>
    </w:p>
    <w:p w14:paraId="00000035">
      <w:pPr>
        <w:pStyle w:val="ListParagraph"/>
        <w:numPr>
          <w:ilvl w:val="0"/>
          <w:numId w:val="2"/>
        </w:numPr>
        <w:rPr/>
      </w:pPr>
      <w:r>
        <w:rPr>
          <w:rFonts w:ascii="Calibri" w:cs="Calibri" w:eastAsia="Calibri" w:hAnsi="Calibri"/>
          <w:sz w:val="24"/>
          <w:szCs w:val="24"/>
        </w:rPr>
        <w:t>Ship City and Ship State — where the product was delivered</w:t>
      </w:r>
    </w:p>
    <w:p w14:paraId="00000036">
      <w:pPr>
        <w:pStyle w:val="ListParagraph"/>
        <w:numPr>
          <w:ilvl w:val="0"/>
          <w:numId w:val="2"/>
        </w:numPr>
        <w:rPr/>
      </w:pPr>
      <w:r>
        <w:rPr>
          <w:rFonts w:ascii="Calibri" w:cs="Calibri" w:eastAsia="Calibri" w:hAnsi="Calibri"/>
          <w:sz w:val="24"/>
          <w:szCs w:val="24"/>
        </w:rPr>
        <w:t>Product Name and Category — what was sold</w:t>
      </w:r>
    </w:p>
    <w:p w14:paraId="00000037">
      <w:pPr>
        <w:pStyle w:val="ListParagraph"/>
        <w:numPr>
          <w:ilvl w:val="0"/>
          <w:numId w:val="2"/>
        </w:numPr>
        <w:rPr/>
      </w:pPr>
      <w:r>
        <w:rPr>
          <w:rFonts w:ascii="Calibri" w:cs="Calibri" w:eastAsia="Calibri" w:hAnsi="Calibri"/>
          <w:sz w:val="24"/>
          <w:szCs w:val="24"/>
        </w:rPr>
        <w:t>Unit Price, Quantity, and Revenue — financial metrics</w:t>
      </w:r>
    </w:p>
    <w:p w14:paraId="00000038">
      <w:pPr>
        <w:pStyle w:val="ListParagraph"/>
        <w:numPr>
          <w:ilvl w:val="0"/>
          <w:numId w:val="2"/>
        </w:numPr>
        <w:rPr/>
      </w:pPr>
      <w:r>
        <w:rPr>
          <w:rFonts w:ascii="Calibri" w:cs="Calibri" w:eastAsia="Calibri" w:hAnsi="Calibri"/>
          <w:sz w:val="24"/>
          <w:szCs w:val="24"/>
        </w:rPr>
        <w:t>Shipping Fee — logistics cost per transaction</w:t>
      </w:r>
    </w:p>
    <w:p w14:paraId="00000039">
      <w:pPr>
        <w:pStyle w:val="ListParagraph"/>
        <w:numPr>
          <w:ilvl w:val="0"/>
          <w:numId w:val="2"/>
        </w:numPr>
        <w:rPr/>
      </w:pPr>
      <w:r>
        <w:rPr>
          <w:rFonts w:ascii="Calibri" w:cs="Calibri" w:eastAsia="Calibri" w:hAnsi="Calibri"/>
          <w:sz w:val="24"/>
          <w:szCs w:val="24"/>
        </w:rPr>
        <w:t>Payment Type — method of payment (Cash, Credit Card, or Check)</w:t>
      </w:r>
    </w:p>
    <w:p w14:paraId="0000003A">
      <w:pPr>
        <w:pStyle w:val="Heading2"/>
        <w:rPr/>
      </w:pPr>
      <w:r>
        <w:t>3.4 Important Features and Their Significance</w:t>
      </w:r>
    </w:p>
    <w:p w14:paraId="0000003B">
      <w:pPr>
        <w:spacing w:after="160"/>
        <w:rPr/>
      </w:pPr>
      <w:r>
        <w:rPr>
          <w:rFonts w:ascii="Calibri" w:cs="Calibri" w:eastAsia="Calibri" w:hAnsi="Calibri"/>
          <w:sz w:val="24"/>
          <w:szCs w:val="24"/>
        </w:rPr>
        <w:t>Revenue is the primary dependent variable, representing the total income generated per transaction. Salesperson and Region are key independent variables that determine how revenue is distributed across the sales team and geographic territories. Product Category provides insight into customer purchasing preferences, while Ship City and Ship State reveal geographic concentration of demand.</w:t>
      </w:r>
    </w:p>
    <w:p w14:paraId="0000003C">
      <w:pPr>
        <w:pStyle w:val="Heading2"/>
        <w:rPr/>
      </w:pPr>
      <w:r>
        <w:t>3.5 Data Limitations and Biases</w:t>
      </w:r>
    </w:p>
    <w:p w14:paraId="0000003D">
      <w:pPr>
        <w:spacing w:after="160"/>
        <w:rPr/>
      </w:pPr>
      <w:r>
        <w:rPr>
          <w:rFonts w:ascii="Calibri" w:cs="Calibri" w:eastAsia="Calibri" w:hAnsi="Calibri"/>
          <w:sz w:val="24"/>
          <w:szCs w:val="24"/>
        </w:rPr>
        <w:t>Several limitations were noted during the analysis. A small number of records had missing values in the Shipped Date, Shipper Name, and Payment Type columns, suggesting some orders were either not yet fulfilled or incompletely recorded at the time of data extraction. Additionally, a few rows appeared to represent shipping fee adjustments rather than product sales (with blank Product Name and Category fields), which were excluded from product-level analysis. The dataset is also limited to a single year, making it difficult to establish multi-year trends or seasonality patterns beyond 2014.</w:t>
      </w:r>
    </w:p>
    <w:p w14:paraId="0000003E">
      <w:r>
        <w:rPr/>
        <w:br w:type="page"/>
      </w:r>
    </w:p>
    <w:p w14:paraId="0000003F">
      <w:pPr>
        <w:pStyle w:val="Heading1"/>
        <w:rPr/>
      </w:pPr>
      <w:r>
        <w:t>4. Data Splitting and Preprocessing</w:t>
      </w:r>
    </w:p>
    <w:p w14:paraId="00000040">
      <w:pPr>
        <w:pStyle w:val="Heading2"/>
        <w:rPr/>
      </w:pPr>
      <w:r>
        <w:t>4.1 Data Cleaning</w:t>
      </w:r>
    </w:p>
    <w:p w14:paraId="00000041">
      <w:pPr>
        <w:spacing w:after="120"/>
        <w:rPr/>
      </w:pPr>
      <w:r>
        <w:rPr>
          <w:rFonts w:ascii="Calibri" w:cs="Calibri" w:eastAsia="Calibri" w:hAnsi="Calibri"/>
          <w:sz w:val="24"/>
          <w:szCs w:val="24"/>
        </w:rPr>
        <w:t>The raw dataset was reviewed for quality and consistency prior to analysis. The following cleaning steps were undertaken:</w:t>
      </w:r>
    </w:p>
    <w:p w14:paraId="00000042">
      <w:pPr>
        <w:pStyle w:val="ListParagraph"/>
        <w:numPr>
          <w:ilvl w:val="0"/>
          <w:numId w:val="2"/>
        </w:numPr>
        <w:rPr/>
      </w:pPr>
      <w:r>
        <w:rPr>
          <w:rFonts w:ascii="Calibri" w:cs="Calibri" w:eastAsia="Calibri" w:hAnsi="Calibri"/>
          <w:sz w:val="24"/>
          <w:szCs w:val="24"/>
        </w:rPr>
        <w:t>Duplicate Order IDs were checked — none were found</w:t>
      </w:r>
    </w:p>
    <w:p w14:paraId="00000043">
      <w:pPr>
        <w:pStyle w:val="ListParagraph"/>
        <w:numPr>
          <w:ilvl w:val="0"/>
          <w:numId w:val="2"/>
        </w:numPr>
        <w:rPr/>
      </w:pPr>
      <w:r>
        <w:rPr>
          <w:rFonts w:ascii="Calibri" w:cs="Calibri" w:eastAsia="Calibri" w:hAnsi="Calibri"/>
          <w:sz w:val="24"/>
          <w:szCs w:val="24"/>
        </w:rPr>
        <w:t>Rows with blank Product Name and Category (shipping fee adjustment rows) were identified and excluded from product-level pivot analysis</w:t>
      </w:r>
    </w:p>
    <w:p w14:paraId="00000044">
      <w:pPr>
        <w:pStyle w:val="ListParagraph"/>
        <w:numPr>
          <w:ilvl w:val="0"/>
          <w:numId w:val="2"/>
        </w:numPr>
        <w:rPr/>
      </w:pPr>
      <w:r>
        <w:rPr>
          <w:rFonts w:ascii="Calibri" w:cs="Calibri" w:eastAsia="Calibri" w:hAnsi="Calibri"/>
          <w:sz w:val="24"/>
          <w:szCs w:val="24"/>
        </w:rPr>
        <w:t>Date columns were verified to be in consistent Excel date serial format</w:t>
      </w:r>
    </w:p>
    <w:p w14:paraId="00000045">
      <w:pPr>
        <w:pStyle w:val="ListParagraph"/>
        <w:numPr>
          <w:ilvl w:val="0"/>
          <w:numId w:val="2"/>
        </w:numPr>
        <w:rPr/>
      </w:pPr>
      <w:r>
        <w:rPr>
          <w:rFonts w:ascii="Calibri" w:cs="Calibri" w:eastAsia="Calibri" w:hAnsi="Calibri"/>
          <w:sz w:val="24"/>
          <w:szCs w:val="24"/>
        </w:rPr>
        <w:t>Revenue values were confirmed to match the product of Unit Price and Quantity for each record</w:t>
      </w:r>
    </w:p>
    <w:p w14:paraId="00000046">
      <w:pPr>
        <w:pStyle w:val="ListParagraph"/>
        <w:numPr>
          <w:ilvl w:val="0"/>
          <w:numId w:val="2"/>
        </w:numPr>
        <w:rPr/>
      </w:pPr>
      <w:r>
        <w:rPr>
          <w:rFonts w:ascii="Calibri" w:cs="Calibri" w:eastAsia="Calibri" w:hAnsi="Calibri"/>
          <w:sz w:val="24"/>
          <w:szCs w:val="24"/>
        </w:rPr>
        <w:t>Inconsistent spacing or formatting in text fields (such as Customer Name and City) was reviewed and standardised</w:t>
      </w:r>
    </w:p>
    <w:p w14:paraId="00000047">
      <w:pPr>
        <w:pStyle w:val="Heading2"/>
        <w:rPr/>
      </w:pPr>
      <w:r>
        <w:t>4.2 Handling Missing Values</w:t>
      </w:r>
    </w:p>
    <w:p w14:paraId="00000048">
      <w:pPr>
        <w:spacing w:after="160"/>
        <w:rPr/>
      </w:pPr>
      <w:r>
        <w:rPr>
          <w:rFonts w:ascii="Calibri" w:cs="Calibri" w:eastAsia="Calibri" w:hAnsi="Calibri"/>
          <w:sz w:val="24"/>
          <w:szCs w:val="24"/>
        </w:rPr>
        <w:t>Missing values in the Shipped Date column were treated as unfulfilled or pending orders and were retained in the dataset but flagged. Missing Payment Type entries were left blank and did not affect the revenue or salesperson-level analysis. No imputation was applied, as the missing fields were not critical to the core analytical objectives.</w:t>
      </w:r>
    </w:p>
    <w:p w14:paraId="00000049">
      <w:pPr>
        <w:pStyle w:val="Heading2"/>
        <w:rPr/>
      </w:pPr>
      <w:r>
        <w:t>4.3 Data Transformations</w:t>
      </w:r>
    </w:p>
    <w:p w14:paraId="0000004A">
      <w:pPr>
        <w:spacing w:after="120"/>
        <w:rPr/>
      </w:pPr>
      <w:r>
        <w:rPr>
          <w:rFonts w:ascii="Calibri" w:cs="Calibri" w:eastAsia="Calibri" w:hAnsi="Calibri"/>
          <w:sz w:val="24"/>
          <w:szCs w:val="24"/>
        </w:rPr>
        <w:t>The following transformations were applied to prepare the data for analysis:</w:t>
      </w:r>
    </w:p>
    <w:p w14:paraId="0000004B">
      <w:pPr>
        <w:pStyle w:val="ListParagraph"/>
        <w:numPr>
          <w:ilvl w:val="0"/>
          <w:numId w:val="2"/>
        </w:numPr>
        <w:rPr/>
      </w:pPr>
      <w:r>
        <w:rPr>
          <w:rFonts w:ascii="Calibri" w:cs="Calibri" w:eastAsia="Calibri" w:hAnsi="Calibri"/>
          <w:sz w:val="24"/>
          <w:szCs w:val="24"/>
        </w:rPr>
        <w:t>Order Date was converted from Excel serial number format to readable date format (DD/MM/YYYY) and then extracted into a Month column to enable monthly trend analysis</w:t>
      </w:r>
    </w:p>
    <w:p w14:paraId="0000004C">
      <w:pPr>
        <w:pStyle w:val="ListParagraph"/>
        <w:numPr>
          <w:ilvl w:val="0"/>
          <w:numId w:val="2"/>
        </w:numPr>
        <w:rPr/>
      </w:pPr>
      <w:r>
        <w:rPr>
          <w:rFonts w:ascii="Calibri" w:cs="Calibri" w:eastAsia="Calibri" w:hAnsi="Calibri"/>
          <w:sz w:val="24"/>
          <w:szCs w:val="24"/>
        </w:rPr>
        <w:t>A Revenue Bin column was created for the Transaction By Amount analysis, grouping transactions into ranges (10–1010, 1010–2010, etc.) to understand order size distribution</w:t>
      </w:r>
    </w:p>
    <w:p w14:paraId="0000004D">
      <w:pPr>
        <w:pStyle w:val="ListParagraph"/>
        <w:numPr>
          <w:ilvl w:val="0"/>
          <w:numId w:val="2"/>
        </w:numPr>
        <w:rPr/>
      </w:pPr>
      <w:r>
        <w:rPr>
          <w:rFonts w:ascii="Calibri" w:cs="Calibri" w:eastAsia="Calibri" w:hAnsi="Calibri"/>
          <w:sz w:val="24"/>
          <w:szCs w:val="24"/>
        </w:rPr>
        <w:t>Product categories were consolidated from individual product names into six top-level categories for the Sales by Category analysis</w:t>
      </w:r>
    </w:p>
    <w:p w14:paraId="0000004E">
      <w:pPr>
        <w:pStyle w:val="Heading2"/>
        <w:rPr/>
      </w:pPr>
      <w:r>
        <w:t>4.4 Data Splitting</w:t>
      </w:r>
    </w:p>
    <w:p w14:paraId="0000004F">
      <w:pPr>
        <w:spacing w:after="120"/>
        <w:rPr/>
      </w:pPr>
      <w:r>
        <w:rPr>
          <w:rFonts w:ascii="Calibri" w:cs="Calibri" w:eastAsia="Calibri" w:hAnsi="Calibri"/>
          <w:sz w:val="24"/>
          <w:szCs w:val="24"/>
        </w:rPr>
        <w:t>For analytical purposes, the data was split along the following dimensions:</w:t>
      </w:r>
    </w:p>
    <w:p w14:paraId="00000050">
      <w:pPr>
        <w:pStyle w:val="ListParagraph"/>
        <w:numPr>
          <w:ilvl w:val="0"/>
          <w:numId w:val="2"/>
        </w:numPr>
        <w:rPr/>
      </w:pPr>
      <w:r>
        <w:rPr>
          <w:rFonts w:ascii="Calibri" w:cs="Calibri" w:eastAsia="Calibri" w:hAnsi="Calibri"/>
          <w:sz w:val="24"/>
          <w:szCs w:val="24"/>
        </w:rPr>
        <w:t>Dependent Variable: Revenue — the primary outcome being measured and compared across all dimensions</w:t>
      </w:r>
    </w:p>
    <w:p w14:paraId="00000051">
      <w:pPr>
        <w:pStyle w:val="ListParagraph"/>
        <w:numPr>
          <w:ilvl w:val="0"/>
          <w:numId w:val="2"/>
        </w:numPr>
        <w:rPr/>
      </w:pPr>
      <w:r>
        <w:rPr>
          <w:rFonts w:ascii="Calibri" w:cs="Calibri" w:eastAsia="Calibri" w:hAnsi="Calibri"/>
          <w:sz w:val="24"/>
          <w:szCs w:val="24"/>
        </w:rPr>
        <w:t>Independent Variables: Salesperson, Region, Product Category, Ship City, Ship State, Month, and Customer Name — each used to slice and analyse revenue from a different angle</w:t>
      </w:r>
    </w:p>
    <w:p w14:paraId="00000052">
      <w:pPr>
        <w:pStyle w:val="Heading2"/>
        <w:rPr/>
      </w:pPr>
      <w:r>
        <w:t>4.5 Industry Context</w:t>
      </w:r>
    </w:p>
    <w:p w14:paraId="00000053">
      <w:pPr>
        <w:spacing w:after="160"/>
        <w:rPr/>
      </w:pPr>
      <w:r>
        <w:rPr>
          <w:rFonts w:ascii="Calibri" w:cs="Calibri" w:eastAsia="Calibri" w:hAnsi="Calibri"/>
          <w:sz w:val="24"/>
          <w:szCs w:val="24"/>
        </w:rPr>
        <w:t>De Angels Super Mart operates in the retail sector, specifically as a multi-category consumer goods distributor selling food and beverage products across multiple US states. The business operates through a field sales team serving both individual and corporate customers, with products shipped directly to customer locations across different cities and states.</w:t>
      </w:r>
    </w:p>
    <w:p w14:paraId="00000054">
      <w:pPr>
        <w:pStyle w:val="Heading2"/>
        <w:rPr/>
      </w:pPr>
      <w:r>
        <w:t>4.6 Stakeholders</w:t>
      </w:r>
    </w:p>
    <w:p w14:paraId="00000055">
      <w:pPr>
        <w:spacing w:after="120"/>
        <w:rPr/>
      </w:pPr>
      <w:r>
        <w:rPr>
          <w:rFonts w:ascii="Calibri" w:cs="Calibri" w:eastAsia="Calibri" w:hAnsi="Calibri"/>
          <w:sz w:val="24"/>
          <w:szCs w:val="24"/>
        </w:rPr>
        <w:t>The primary stakeholders for this analysis include:</w:t>
      </w:r>
    </w:p>
    <w:p w14:paraId="00000056">
      <w:pPr>
        <w:pStyle w:val="ListParagraph"/>
        <w:numPr>
          <w:ilvl w:val="0"/>
          <w:numId w:val="2"/>
        </w:numPr>
        <w:rPr/>
      </w:pPr>
      <w:r>
        <w:rPr>
          <w:rFonts w:ascii="Calibri" w:cs="Calibri" w:eastAsia="Calibri" w:hAnsi="Calibri"/>
          <w:sz w:val="24"/>
          <w:szCs w:val="24"/>
        </w:rPr>
        <w:t>Senior Management — to inform strategic planning and resource allocation decisions</w:t>
      </w:r>
    </w:p>
    <w:p w14:paraId="00000057">
      <w:pPr>
        <w:pStyle w:val="ListParagraph"/>
        <w:numPr>
          <w:ilvl w:val="0"/>
          <w:numId w:val="2"/>
        </w:numPr>
        <w:rPr/>
      </w:pPr>
      <w:r>
        <w:rPr>
          <w:rFonts w:ascii="Calibri" w:cs="Calibri" w:eastAsia="Calibri" w:hAnsi="Calibri"/>
          <w:sz w:val="24"/>
          <w:szCs w:val="24"/>
        </w:rPr>
        <w:t>Sales Team and Sales Managers — to evaluate individual and regional performance</w:t>
      </w:r>
    </w:p>
    <w:p w14:paraId="00000058">
      <w:pPr>
        <w:pStyle w:val="ListParagraph"/>
        <w:numPr>
          <w:ilvl w:val="0"/>
          <w:numId w:val="2"/>
        </w:numPr>
        <w:rPr/>
      </w:pPr>
      <w:r>
        <w:rPr>
          <w:rFonts w:ascii="Calibri" w:cs="Calibri" w:eastAsia="Calibri" w:hAnsi="Calibri"/>
          <w:sz w:val="24"/>
          <w:szCs w:val="24"/>
        </w:rPr>
        <w:t>Product Management — to assess category performance and guide inventory decisions</w:t>
      </w:r>
    </w:p>
    <w:p w14:paraId="00000059">
      <w:pPr>
        <w:pStyle w:val="ListParagraph"/>
        <w:numPr>
          <w:ilvl w:val="0"/>
          <w:numId w:val="2"/>
        </w:numPr>
        <w:rPr/>
      </w:pPr>
      <w:r>
        <w:rPr>
          <w:rFonts w:ascii="Calibri" w:cs="Calibri" w:eastAsia="Calibri" w:hAnsi="Calibri"/>
          <w:sz w:val="24"/>
          <w:szCs w:val="24"/>
        </w:rPr>
        <w:t>Logistics and Operations — to optimise shipping city coverage and distribution efficiency</w:t>
      </w:r>
    </w:p>
    <w:p w14:paraId="0000005A">
      <w:pPr>
        <w:pStyle w:val="ListParagraph"/>
        <w:numPr>
          <w:ilvl w:val="0"/>
          <w:numId w:val="2"/>
        </w:numPr>
        <w:rPr/>
      </w:pPr>
      <w:r>
        <w:rPr>
          <w:rFonts w:ascii="Calibri" w:cs="Calibri" w:eastAsia="Calibri" w:hAnsi="Calibri"/>
          <w:sz w:val="24"/>
          <w:szCs w:val="24"/>
        </w:rPr>
        <w:t>Marketing Department — to identify target regions and seasonal campaign opportunities</w:t>
      </w:r>
    </w:p>
    <w:p w14:paraId="0000005B">
      <w:pPr>
        <w:pStyle w:val="Heading2"/>
        <w:rPr/>
      </w:pPr>
      <w:r>
        <w:t>4.7 Value to the Industry</w:t>
      </w:r>
    </w:p>
    <w:p w14:paraId="0000005C">
      <w:pPr>
        <w:spacing w:after="160"/>
        <w:rPr/>
      </w:pPr>
      <w:r>
        <w:rPr>
          <w:rFonts w:ascii="Calibri" w:cs="Calibri" w:eastAsia="Calibri" w:hAnsi="Calibri"/>
          <w:sz w:val="24"/>
          <w:szCs w:val="24"/>
        </w:rPr>
        <w:t>This analysis provides the retail industry with a replicable framework for identifying revenue concentration risks, evaluating sales team effectiveness, and uncovering geographic and product-level growth opportunities. The insights generated from this dataset can help decision-makers move from intuition-based management to data-driven strategy, enabling more efficient allocation of marketing spend, sales resources, and inventory.</w:t>
      </w:r>
    </w:p>
    <w:p w14:paraId="0000005D">
      <w:r>
        <w:rPr/>
        <w:br w:type="page"/>
      </w:r>
    </w:p>
    <w:p w14:paraId="0000005E">
      <w:pPr>
        <w:pStyle w:val="Heading1"/>
        <w:rPr/>
      </w:pPr>
      <w:r>
        <w:t>5. Pre-Analysis</w:t>
      </w:r>
    </w:p>
    <w:p w14:paraId="0000005F">
      <w:pPr>
        <w:pStyle w:val="Heading2"/>
        <w:rPr/>
      </w:pPr>
      <w:r>
        <w:t>5.1 Key Trends Identified</w:t>
      </w:r>
    </w:p>
    <w:p w14:paraId="00000060">
      <w:pPr>
        <w:spacing w:after="120"/>
        <w:rPr/>
      </w:pPr>
      <w:r>
        <w:rPr>
          <w:rFonts w:ascii="Calibri" w:cs="Calibri" w:eastAsia="Calibri" w:hAnsi="Calibri"/>
          <w:sz w:val="24"/>
          <w:szCs w:val="24"/>
        </w:rPr>
        <w:t>Before conducting the full analysis, an initial review of the dataset revealed several early patterns:</w:t>
      </w:r>
    </w:p>
    <w:p w14:paraId="00000061">
      <w:pPr>
        <w:pStyle w:val="ListParagraph"/>
        <w:numPr>
          <w:ilvl w:val="0"/>
          <w:numId w:val="2"/>
        </w:numPr>
        <w:rPr/>
      </w:pPr>
      <w:r>
        <w:rPr>
          <w:rFonts w:ascii="Calibri" w:cs="Calibri" w:eastAsia="Calibri" w:hAnsi="Calibri"/>
          <w:sz w:val="24"/>
          <w:szCs w:val="24"/>
        </w:rPr>
        <w:t>The majority of transactions (221 out of 369) fell within the lowest revenue bracket of $10–$1,010, suggesting most individual orders are relatively small in value</w:t>
      </w:r>
    </w:p>
    <w:p w14:paraId="00000062">
      <w:pPr>
        <w:pStyle w:val="ListParagraph"/>
        <w:numPr>
          <w:ilvl w:val="0"/>
          <w:numId w:val="2"/>
        </w:numPr>
        <w:rPr/>
      </w:pPr>
      <w:r>
        <w:rPr>
          <w:rFonts w:ascii="Calibri" w:cs="Calibri" w:eastAsia="Calibri" w:hAnsi="Calibri"/>
          <w:sz w:val="24"/>
          <w:szCs w:val="24"/>
        </w:rPr>
        <w:t>A handful of salesperson names appeared far more frequently in the data than others, hinting at unequal sales activity across the team</w:t>
      </w:r>
    </w:p>
    <w:p w14:paraId="00000063">
      <w:pPr>
        <w:pStyle w:val="ListParagraph"/>
        <w:numPr>
          <w:ilvl w:val="0"/>
          <w:numId w:val="2"/>
        </w:numPr>
        <w:rPr/>
      </w:pPr>
      <w:r>
        <w:rPr>
          <w:rFonts w:ascii="Calibri" w:cs="Calibri" w:eastAsia="Calibri" w:hAnsi="Calibri"/>
          <w:sz w:val="24"/>
          <w:szCs w:val="24"/>
        </w:rPr>
        <w:t>Certain cities (particularly New York, Portland, and Miami) appeared repeatedly as shipping destinations, suggesting geographic concentration of orders</w:t>
      </w:r>
    </w:p>
    <w:p w14:paraId="00000064">
      <w:pPr>
        <w:pStyle w:val="ListParagraph"/>
        <w:numPr>
          <w:ilvl w:val="0"/>
          <w:numId w:val="2"/>
        </w:numPr>
        <w:rPr/>
      </w:pPr>
      <w:r>
        <w:rPr>
          <w:rFonts w:ascii="Calibri" w:cs="Calibri" w:eastAsia="Calibri" w:hAnsi="Calibri"/>
          <w:sz w:val="24"/>
          <w:szCs w:val="24"/>
        </w:rPr>
        <w:t>Beverages appeared as a product category in a high proportion of transactions, suggesting dominant consumer preference for that category</w:t>
      </w:r>
    </w:p>
    <w:p w14:paraId="00000065">
      <w:pPr>
        <w:pStyle w:val="Heading2"/>
        <w:rPr/>
      </w:pPr>
      <w:r>
        <w:t>5.2 Potential Correlations</w:t>
      </w:r>
    </w:p>
    <w:p w14:paraId="00000066">
      <w:pPr>
        <w:spacing w:after="120"/>
        <w:rPr/>
      </w:pPr>
      <w:r>
        <w:rPr>
          <w:rFonts w:ascii="Calibri" w:cs="Calibri" w:eastAsia="Calibri" w:hAnsi="Calibri"/>
          <w:sz w:val="24"/>
          <w:szCs w:val="24"/>
        </w:rPr>
        <w:t>Several potential correlations were noted at the pre-analysis stage:</w:t>
      </w:r>
    </w:p>
    <w:p w14:paraId="00000067">
      <w:pPr>
        <w:pStyle w:val="ListParagraph"/>
        <w:numPr>
          <w:ilvl w:val="0"/>
          <w:numId w:val="2"/>
        </w:numPr>
        <w:rPr/>
      </w:pPr>
      <w:r>
        <w:rPr>
          <w:rFonts w:ascii="Calibri" w:cs="Calibri" w:eastAsia="Calibri" w:hAnsi="Calibri"/>
          <w:sz w:val="24"/>
          <w:szCs w:val="24"/>
        </w:rPr>
        <w:t>A likely positive correlation between the number of active customers per salesperson and their total revenue — salespersons handling more accounts appeared to generate more revenue</w:t>
      </w:r>
    </w:p>
    <w:p w14:paraId="00000068">
      <w:pPr>
        <w:pStyle w:val="ListParagraph"/>
        <w:numPr>
          <w:ilvl w:val="0"/>
          <w:numId w:val="2"/>
        </w:numPr>
        <w:rPr/>
      </w:pPr>
      <w:r>
        <w:rPr>
          <w:rFonts w:ascii="Calibri" w:cs="Calibri" w:eastAsia="Calibri" w:hAnsi="Calibri"/>
          <w:sz w:val="24"/>
          <w:szCs w:val="24"/>
        </w:rPr>
        <w:t>A potential link between region and product category preferences — western territory salespersons appeared to sell a slightly different product mix compared to eastern territory counterparts</w:t>
      </w:r>
    </w:p>
    <w:p w14:paraId="00000069">
      <w:pPr>
        <w:pStyle w:val="ListParagraph"/>
        <w:numPr>
          <w:ilvl w:val="0"/>
          <w:numId w:val="2"/>
        </w:numPr>
        <w:rPr/>
      </w:pPr>
      <w:r>
        <w:rPr>
          <w:rFonts w:ascii="Calibri" w:cs="Calibri" w:eastAsia="Calibri" w:hAnsi="Calibri"/>
          <w:sz w:val="24"/>
          <w:szCs w:val="24"/>
        </w:rPr>
        <w:t>A possible seasonal pattern in revenue, with end-of-year months appearing to have higher transaction frequencies</w:t>
      </w:r>
    </w:p>
    <w:p w14:paraId="0000006A">
      <w:pPr>
        <w:pStyle w:val="Heading2"/>
        <w:rPr/>
      </w:pPr>
      <w:r>
        <w:t>5.3 Initial Insights</w:t>
      </w:r>
    </w:p>
    <w:p w14:paraId="0000006B">
      <w:pPr>
        <w:spacing w:after="120"/>
        <w:rPr/>
      </w:pPr>
      <w:r>
        <w:rPr>
          <w:rFonts w:ascii="Calibri" w:cs="Calibri" w:eastAsia="Calibri" w:hAnsi="Calibri"/>
          <w:sz w:val="24"/>
          <w:szCs w:val="24"/>
        </w:rPr>
        <w:t>The pre-analysis stage raised the following questions that guided the deeper analysis:</w:t>
      </w:r>
    </w:p>
    <w:p w14:paraId="0000006C">
      <w:pPr>
        <w:pStyle w:val="ListParagraph"/>
        <w:numPr>
          <w:ilvl w:val="0"/>
          <w:numId w:val="2"/>
        </w:numPr>
        <w:rPr/>
      </w:pPr>
      <w:r>
        <w:rPr>
          <w:rFonts w:ascii="Calibri" w:cs="Calibri" w:eastAsia="Calibri" w:hAnsi="Calibri"/>
          <w:sz w:val="24"/>
          <w:szCs w:val="24"/>
        </w:rPr>
        <w:t>Is the high transaction count in the low revenue bracket ($10–$1,010) offsetting the impact of fewer but larger orders?</w:t>
      </w:r>
    </w:p>
    <w:p w14:paraId="0000006D">
      <w:pPr>
        <w:pStyle w:val="ListParagraph"/>
        <w:numPr>
          <w:ilvl w:val="0"/>
          <w:numId w:val="2"/>
        </w:numPr>
        <w:rPr/>
      </w:pPr>
      <w:r>
        <w:rPr>
          <w:rFonts w:ascii="Calibri" w:cs="Calibri" w:eastAsia="Calibri" w:hAnsi="Calibri"/>
          <w:sz w:val="24"/>
          <w:szCs w:val="24"/>
        </w:rPr>
        <w:t>Does the geographic concentration of orders in a few cities represent a strategic strength or a risk?</w:t>
      </w:r>
    </w:p>
    <w:p w14:paraId="0000006E">
      <w:pPr>
        <w:pStyle w:val="ListParagraph"/>
        <w:numPr>
          <w:ilvl w:val="0"/>
          <w:numId w:val="2"/>
        </w:numPr>
        <w:rPr/>
      </w:pPr>
      <w:r>
        <w:rPr>
          <w:rFonts w:ascii="Calibri" w:cs="Calibri" w:eastAsia="Calibri" w:hAnsi="Calibri"/>
          <w:sz w:val="24"/>
          <w:szCs w:val="24"/>
        </w:rPr>
        <w:t>Are the top-performing salespersons successful due to territory advantage or individual capability?</w:t>
      </w:r>
    </w:p>
    <w:p w14:paraId="0000006F">
      <w:pPr>
        <w:pStyle w:val="ListParagraph"/>
        <w:numPr>
          <w:ilvl w:val="0"/>
          <w:numId w:val="2"/>
        </w:numPr>
        <w:rPr/>
      </w:pPr>
      <w:r>
        <w:rPr>
          <w:rFonts w:ascii="Calibri" w:cs="Calibri" w:eastAsia="Calibri" w:hAnsi="Calibri"/>
          <w:sz w:val="24"/>
          <w:szCs w:val="24"/>
        </w:rPr>
        <w:t>Is the Beverages category dominant because of active selling or organic customer demand?</w:t>
      </w:r>
    </w:p>
    <w:p w14:paraId="00000070">
      <w:r>
        <w:rPr/>
        <w:br w:type="page"/>
      </w:r>
    </w:p>
    <w:p w14:paraId="00000071">
      <w:pPr>
        <w:pStyle w:val="Heading1"/>
        <w:rPr/>
      </w:pPr>
      <w:r>
        <w:t>6. In-Analysis</w:t>
      </w:r>
    </w:p>
    <w:p w14:paraId="00000072">
      <w:pPr>
        <w:pStyle w:val="Heading2"/>
        <w:rPr/>
      </w:pPr>
      <w:r>
        <w:t>6.1 Unconfirmed Insights During Analysis</w:t>
      </w:r>
    </w:p>
    <w:p w14:paraId="00000073">
      <w:pPr>
        <w:spacing w:after="120"/>
        <w:rPr/>
      </w:pPr>
      <w:r>
        <w:rPr>
          <w:rFonts w:ascii="Calibri" w:cs="Calibri" w:eastAsia="Calibri" w:hAnsi="Calibri"/>
          <w:sz w:val="24"/>
          <w:szCs w:val="24"/>
        </w:rPr>
        <w:t>As the analysis progressed through the pivot tables and charts, several patterns emerged that required further investigation:</w:t>
      </w:r>
    </w:p>
    <w:p w14:paraId="00000074">
      <w:pPr>
        <w:pStyle w:val="ListParagraph"/>
        <w:numPr>
          <w:ilvl w:val="0"/>
          <w:numId w:val="2"/>
        </w:numPr>
        <w:rPr/>
      </w:pPr>
      <w:r>
        <w:rPr>
          <w:rFonts w:ascii="Calibri" w:cs="Calibri" w:eastAsia="Calibri" w:hAnsi="Calibri"/>
          <w:sz w:val="24"/>
          <w:szCs w:val="24"/>
        </w:rPr>
        <w:t>Nancy Freehafer's dominance in the North region appeared to be so significant that removing her from the data would likely cause the North to drop to one of the lower-performing regions — a hypothesis confirmed when her slice showed $104,252.34 out of the North's total $141,680.34</w:t>
      </w:r>
    </w:p>
    <w:p w14:paraId="00000075">
      <w:pPr>
        <w:pStyle w:val="ListParagraph"/>
        <w:numPr>
          <w:ilvl w:val="0"/>
          <w:numId w:val="2"/>
        </w:numPr>
        <w:rPr/>
      </w:pPr>
      <w:r>
        <w:rPr>
          <w:rFonts w:ascii="Calibri" w:cs="Calibri" w:eastAsia="Calibri" w:hAnsi="Calibri"/>
          <w:sz w:val="24"/>
          <w:szCs w:val="24"/>
        </w:rPr>
        <w:t>The West region had three salespersons (Mariya Sergienko, Robert Zare, Jan Kotas) but showed the second-lowest average performance per person, suggesting territory fragmentation or uneven account allocation</w:t>
      </w:r>
    </w:p>
    <w:p w14:paraId="00000076">
      <w:pPr>
        <w:pStyle w:val="ListParagraph"/>
        <w:numPr>
          <w:ilvl w:val="0"/>
          <w:numId w:val="2"/>
        </w:numPr>
        <w:rPr/>
      </w:pPr>
      <w:r>
        <w:rPr>
          <w:rFonts w:ascii="Calibri" w:cs="Calibri" w:eastAsia="Calibri" w:hAnsi="Calibri"/>
          <w:sz w:val="24"/>
          <w:szCs w:val="24"/>
        </w:rPr>
        <w:t>The consistent appearance of Beverages in high-revenue transactions across all regions suggested it was a demand-driven category rather than one being actively pushed by the sales team</w:t>
      </w:r>
    </w:p>
    <w:p w14:paraId="00000077">
      <w:pPr>
        <w:pStyle w:val="ListParagraph"/>
        <w:numPr>
          <w:ilvl w:val="0"/>
          <w:numId w:val="2"/>
        </w:numPr>
        <w:rPr/>
      </w:pPr>
      <w:r>
        <w:rPr>
          <w:rFonts w:ascii="Calibri" w:cs="Calibri" w:eastAsia="Calibri" w:hAnsi="Calibri"/>
          <w:sz w:val="24"/>
          <w:szCs w:val="24"/>
        </w:rPr>
        <w:t>February's low revenue across multiple salespersons suggested a systemic seasonal dip rather than individual performance issues</w:t>
      </w:r>
    </w:p>
    <w:p w14:paraId="00000078">
      <w:pPr>
        <w:pStyle w:val="Heading2"/>
        <w:rPr/>
      </w:pPr>
      <w:r>
        <w:t>6.2 Preliminary Recommendations from In-Analysis</w:t>
      </w:r>
    </w:p>
    <w:p w14:paraId="00000079">
      <w:pPr>
        <w:spacing w:after="120"/>
        <w:rPr/>
      </w:pPr>
      <w:r>
        <w:rPr>
          <w:rFonts w:ascii="Calibri" w:cs="Calibri" w:eastAsia="Calibri" w:hAnsi="Calibri"/>
          <w:sz w:val="24"/>
          <w:szCs w:val="24"/>
        </w:rPr>
        <w:t>Based on the patterns observed during the analysis, the following preliminary recommendations were noted before the post-analysis stage:</w:t>
      </w:r>
    </w:p>
    <w:p w14:paraId="0000007A">
      <w:pPr>
        <w:pStyle w:val="ListParagraph"/>
        <w:numPr>
          <w:ilvl w:val="0"/>
          <w:numId w:val="2"/>
        </w:numPr>
        <w:rPr/>
      </w:pPr>
      <w:r>
        <w:rPr>
          <w:rFonts w:ascii="Calibri" w:cs="Calibri" w:eastAsia="Calibri" w:hAnsi="Calibri"/>
          <w:sz w:val="24"/>
          <w:szCs w:val="24"/>
        </w:rPr>
        <w:t>A performance improvement plan should be designed for Jan Kotas, whose erratic monthly numbers and single-city dependency indicated structural issues beyond just effort</w:t>
      </w:r>
    </w:p>
    <w:p w14:paraId="0000007B">
      <w:pPr>
        <w:pStyle w:val="ListParagraph"/>
        <w:numPr>
          <w:ilvl w:val="0"/>
          <w:numId w:val="2"/>
        </w:numPr>
        <w:rPr/>
      </w:pPr>
      <w:r>
        <w:rPr>
          <w:rFonts w:ascii="Calibri" w:cs="Calibri" w:eastAsia="Calibri" w:hAnsi="Calibri"/>
          <w:sz w:val="24"/>
          <w:szCs w:val="24"/>
        </w:rPr>
        <w:t>A February-specific promotional or engagement campaign should be considered to address the team-wide revenue dip observed in that month</w:t>
      </w:r>
    </w:p>
    <w:p w14:paraId="0000007C">
      <w:pPr>
        <w:pStyle w:val="ListParagraph"/>
        <w:numPr>
          <w:ilvl w:val="0"/>
          <w:numId w:val="2"/>
        </w:numPr>
        <w:rPr/>
      </w:pPr>
      <w:r>
        <w:rPr>
          <w:rFonts w:ascii="Calibri" w:cs="Calibri" w:eastAsia="Calibri" w:hAnsi="Calibri"/>
          <w:sz w:val="24"/>
          <w:szCs w:val="24"/>
        </w:rPr>
        <w:t>The Beverages category should be protected as a core revenue driver, with stock and supply chain prioritisation</w:t>
      </w:r>
    </w:p>
    <w:p w14:paraId="0000007D">
      <w:pPr>
        <w:pStyle w:val="ListParagraph"/>
        <w:numPr>
          <w:ilvl w:val="0"/>
          <w:numId w:val="2"/>
        </w:numPr>
        <w:rPr/>
      </w:pPr>
      <w:r>
        <w:rPr>
          <w:rFonts w:ascii="Calibri" w:cs="Calibri" w:eastAsia="Calibri" w:hAnsi="Calibri"/>
          <w:sz w:val="24"/>
          <w:szCs w:val="24"/>
        </w:rPr>
        <w:t>The West region's three-way split should be reviewed for territory overlap or gaps</w:t>
      </w:r>
    </w:p>
    <w:p w14:paraId="0000007E">
      <w:pPr>
        <w:pStyle w:val="Heading2"/>
        <w:rPr/>
      </w:pPr>
      <w:r>
        <w:t>6.3 Analysis Techniques Used in Excel</w:t>
      </w:r>
    </w:p>
    <w:p w14:paraId="0000007F">
      <w:pPr>
        <w:spacing w:after="120"/>
        <w:rPr/>
      </w:pPr>
      <w:r>
        <w:rPr>
          <w:rFonts w:ascii="Calibri" w:cs="Calibri" w:eastAsia="Calibri" w:hAnsi="Calibri"/>
          <w:sz w:val="24"/>
          <w:szCs w:val="24"/>
        </w:rPr>
        <w:t>The following Excel tools and techniques were used during the in-analysis phase:</w:t>
      </w:r>
    </w:p>
    <w:p w14:paraId="00000080">
      <w:pPr>
        <w:pStyle w:val="ListParagraph"/>
        <w:numPr>
          <w:ilvl w:val="0"/>
          <w:numId w:val="2"/>
        </w:numPr>
        <w:rPr/>
      </w:pPr>
      <w:r>
        <w:rPr>
          <w:rFonts w:ascii="Calibri" w:cs="Calibri" w:eastAsia="Calibri" w:hAnsi="Calibri"/>
          <w:sz w:val="24"/>
          <w:szCs w:val="24"/>
        </w:rPr>
        <w:t>Pivot Tables — used to aggregate revenue by salesperson, region, product category, ship city, and month. Multiple pivot tables were created across dedicated sheets (Sales by Category, Top Ship Cities, Cities Performance, States Performance)</w:t>
      </w:r>
    </w:p>
    <w:p w14:paraId="00000081">
      <w:pPr>
        <w:pStyle w:val="ListParagraph"/>
        <w:numPr>
          <w:ilvl w:val="0"/>
          <w:numId w:val="2"/>
        </w:numPr>
        <w:rPr/>
      </w:pPr>
      <w:r>
        <w:rPr>
          <w:rFonts w:ascii="Calibri" w:cs="Calibri" w:eastAsia="Calibri" w:hAnsi="Calibri"/>
          <w:sz w:val="24"/>
          <w:szCs w:val="24"/>
        </w:rPr>
        <w:t>VLOOKUP — used to cross-reference salesperson names with regional assignments and to pull customer-level revenue totals for the Top 10 Customers chart</w:t>
      </w:r>
    </w:p>
    <w:p w14:paraId="00000082">
      <w:pPr>
        <w:pStyle w:val="ListParagraph"/>
        <w:numPr>
          <w:ilvl w:val="0"/>
          <w:numId w:val="2"/>
        </w:numPr>
        <w:rPr/>
      </w:pPr>
      <w:r>
        <w:rPr>
          <w:rFonts w:ascii="Calibri" w:cs="Calibri" w:eastAsia="Calibri" w:hAnsi="Calibri"/>
          <w:sz w:val="24"/>
          <w:szCs w:val="24"/>
        </w:rPr>
        <w:t>Slicers — added to the dashboard to allow dynamic filtering by salesperson and product category, enabling interactive exploration of the data</w:t>
      </w:r>
    </w:p>
    <w:p w14:paraId="00000083">
      <w:pPr>
        <w:pStyle w:val="ListParagraph"/>
        <w:numPr>
          <w:ilvl w:val="0"/>
          <w:numId w:val="2"/>
        </w:numPr>
        <w:rPr/>
      </w:pPr>
      <w:r>
        <w:rPr>
          <w:rFonts w:ascii="Calibri" w:cs="Calibri" w:eastAsia="Calibri" w:hAnsi="Calibri"/>
          <w:sz w:val="24"/>
          <w:szCs w:val="24"/>
        </w:rPr>
        <w:t>Calculated Fields — used within pivot tables to derive average transaction values and contribution percentages</w:t>
      </w:r>
    </w:p>
    <w:p w14:paraId="00000084">
      <w:pPr>
        <w:pStyle w:val="ListParagraph"/>
        <w:numPr>
          <w:ilvl w:val="0"/>
          <w:numId w:val="2"/>
        </w:numPr>
        <w:rPr/>
      </w:pPr>
      <w:r>
        <w:rPr>
          <w:rFonts w:ascii="Calibri" w:cs="Calibri" w:eastAsia="Calibri" w:hAnsi="Calibri"/>
          <w:sz w:val="24"/>
          <w:szCs w:val="24"/>
        </w:rPr>
        <w:t>Conditional Formatting — applied to the sales by salesperson chart to visually highlight top and bottom performers</w:t>
      </w:r>
    </w:p>
    <w:p w14:paraId="00000085">
      <w:pPr>
        <w:pStyle w:val="ListParagraph"/>
        <w:numPr>
          <w:ilvl w:val="0"/>
          <w:numId w:val="2"/>
        </w:numPr>
        <w:rPr/>
      </w:pPr>
      <w:r>
        <w:rPr>
          <w:rFonts w:ascii="Calibri" w:cs="Calibri" w:eastAsia="Calibri" w:hAnsi="Calibri"/>
          <w:sz w:val="24"/>
          <w:szCs w:val="24"/>
        </w:rPr>
        <w:t>Data Validation — used on input cells to restrict entries to valid salesperson names and product categories</w:t>
      </w:r>
    </w:p>
    <w:p w14:paraId="00000086">
      <w:pPr>
        <w:pStyle w:val="ListParagraph"/>
        <w:numPr>
          <w:ilvl w:val="0"/>
          <w:numId w:val="2"/>
        </w:numPr>
        <w:rPr/>
      </w:pPr>
      <w:r>
        <w:rPr>
          <w:rFonts w:ascii="Calibri" w:cs="Calibri" w:eastAsia="Calibri" w:hAnsi="Calibri"/>
          <w:sz w:val="24"/>
          <w:szCs w:val="24"/>
        </w:rPr>
        <w:t>Transaction Binning — a custom grouping approach used to categorise transactions by revenue range for the Transaction By Amount chart</w:t>
      </w:r>
    </w:p>
    <w:p w14:paraId="00000087">
      <w:r>
        <w:rPr/>
        <w:br w:type="page"/>
      </w:r>
    </w:p>
    <w:p w14:paraId="00000088">
      <w:pPr>
        <w:pStyle w:val="Heading1"/>
        <w:rPr/>
      </w:pPr>
      <w:r>
        <w:t>7. Post-Analysis and Insights</w:t>
      </w:r>
    </w:p>
    <w:p w14:paraId="00000089">
      <w:pPr>
        <w:pStyle w:val="Heading2"/>
        <w:rPr/>
      </w:pPr>
      <w:r>
        <w:t>7.1 Key Findings</w:t>
      </w:r>
    </w:p>
    <w:p w14:paraId="0000008A">
      <w:pPr>
        <w:spacing w:after="160"/>
        <w:rPr/>
      </w:pPr>
      <w:r>
        <w:rPr>
          <w:rFonts w:ascii="Calibri" w:cs="Calibri" w:eastAsia="Calibri" w:hAnsi="Calibri"/>
          <w:sz w:val="24"/>
          <w:szCs w:val="24"/>
        </w:rPr>
        <w:t xml:space="preserve">The 2014 analysis of </w:t>
      </w:r>
      <w:r>
        <w:rPr>
          <w:rFonts w:asciiTheme="minorAscii" w:cstheme="minorAscii" w:eastAsiaTheme="minorAscii" w:hAnsiTheme="minorAscii"/>
          <w:color w:val="000000"/>
          <w:sz w:val="24"/>
          <w:szCs w:val="24"/>
          <w:rtl w:val="off"/>
          <w:lang w:val="en-US"/>
        </w:rPr>
        <w:t>Habourview Retail Super Mart</w:t>
      </w:r>
      <w:r>
        <w:rPr>
          <w:rFonts w:ascii="Calibri" w:cs="Calibri" w:eastAsia="Calibri" w:hAnsi="Calibri"/>
          <w:sz w:val="24"/>
          <w:szCs w:val="24"/>
        </w:rPr>
        <w:t xml:space="preserve"> revealed a business performing well on the surface but built on a narrow and concentrated foundation. The full story of the data is captured below.</w:t>
      </w:r>
    </w:p>
    <w:p w14:paraId="0000008B">
      <w:pPr>
        <w:spacing w:after="160"/>
        <w:rPr/>
      </w:pPr>
      <w:r>
        <w:rPr>
          <w:rFonts w:asciiTheme="minorAscii" w:cstheme="minorAscii" w:eastAsiaTheme="minorAscii" w:hAnsiTheme="minorAscii"/>
          <w:color w:val="000000"/>
          <w:sz w:val="24"/>
          <w:szCs w:val="24"/>
          <w:rtl w:val="off"/>
          <w:lang w:val="en-US"/>
        </w:rPr>
        <w:t>Habourview Retail Super Mart</w:t>
      </w:r>
      <w:r>
        <w:rPr>
          <w:rFonts w:ascii="Calibri" w:cs="Calibri" w:eastAsia="Calibri" w:hAnsi="Calibri"/>
          <w:sz w:val="24"/>
          <w:szCs w:val="24"/>
        </w:rPr>
        <w:t xml:space="preserve"> closed 2014 with a total revenue of $317,712.81 across 369 transactions. The year was defined by concentration — in people, places, and products.</w:t>
      </w:r>
    </w:p>
    <w:p w14:paraId="0000008C">
      <w:pPr>
        <w:spacing w:after="160"/>
        <w:rPr/>
      </w:pPr>
      <w:r>
        <w:rPr>
          <w:rFonts w:ascii="Calibri" w:cs="Calibri" w:eastAsia="Calibri" w:hAnsi="Calibri"/>
          <w:sz w:val="24"/>
          <w:szCs w:val="24"/>
        </w:rPr>
        <w:t>Nancy Freehafer was the standout performer, generating $104,252.34 — approximately 33% of total team revenue — entirely within the North region across Portland, Seattle, and Boise. Her nearest competitor was Anne Larsen at $93,858.33, who single-handedly carried the entire South region across Miami and Memphis. Andrew Cencini followed at $67,180.50, operating exclusively in New York within the East region. Mid-tier performers Laura Giussani ($41,095.01 from Chicago) and Mariya Sergienko ($42,370.88 from Los Angeles and Las Vegas) demonstrated steady but modest contributions. Michael Neipper ($37,428.00 from Milwaukee) and Robert Zare ($32,530.60 from Salt Lake City) were reliable but underwhelming. Jan Kotas ($16,350.50 from Denver) was the clear outlier at the bottom, with erratic monthly numbers and the narrowest geographic and product footprint on the team.</w:t>
      </w:r>
    </w:p>
    <w:p w14:paraId="0000008D">
      <w:pPr>
        <w:spacing w:after="160"/>
        <w:rPr/>
      </w:pPr>
      <w:r>
        <w:rPr>
          <w:rFonts w:ascii="Calibri" w:cs="Calibri" w:eastAsia="Calibri" w:hAnsi="Calibri"/>
          <w:sz w:val="24"/>
          <w:szCs w:val="24"/>
        </w:rPr>
        <w:t>Regionally, the North led with $141,680.34, followed by West ($108,275.51), East ($93,858.33), and South ($91,251.98). The North's strength was largely attributable to Nancy and Michael combined, while the close gap between South and East reflected the individual efforts of Anne and Andrew respectively. New York emerged as the top state at $67,180.50, driven entirely by Andrew Cencini.</w:t>
      </w:r>
    </w:p>
    <w:p w14:paraId="0000008E">
      <w:pPr>
        <w:spacing w:after="160"/>
        <w:rPr/>
      </w:pPr>
      <w:r>
        <w:rPr>
          <w:rFonts w:ascii="Calibri" w:cs="Calibri" w:eastAsia="Calibri" w:hAnsi="Calibri"/>
          <w:sz w:val="24"/>
          <w:szCs w:val="24"/>
        </w:rPr>
        <w:t>In terms of products, Beverages dominated with $110,577.11 — nearly 35% of total revenue — followed by Sauces ($69,000.00), Jams &amp; Preserves ($51,541.00), Dairy Products ($33,129.60), Dried Fruit &amp; Nuts ($27,999.50), and Canned Meat ($25,465.60). The sales trend showed a February low of $19,985.50, a mid-year climb peaking at $55,601.61 in June, and a strong December close at $66,642.78. Company D emerged as the Customer of the Year at $67,200, representing a notable single-customer dependency.</w:t>
      </w:r>
    </w:p>
    <w:p w14:paraId="0000008F">
      <w:pPr>
        <w:pStyle w:val="Heading2"/>
        <w:rPr/>
      </w:pPr>
      <w:r>
        <w:t>7.2 Comparison with Initial Findings</w:t>
      </w:r>
    </w:p>
    <w:p w14:paraId="00000090">
      <w:pPr>
        <w:spacing w:after="120"/>
        <w:rPr/>
      </w:pPr>
      <w:r>
        <w:rPr>
          <w:rFonts w:ascii="Calibri" w:cs="Calibri" w:eastAsia="Calibri" w:hAnsi="Calibri"/>
          <w:sz w:val="24"/>
          <w:szCs w:val="24"/>
        </w:rPr>
        <w:t>Several findings aligned with the pre-analysis expectations, while others were surprising:</w:t>
      </w:r>
    </w:p>
    <w:p w14:paraId="00000091">
      <w:pPr>
        <w:pStyle w:val="ListParagraph"/>
        <w:numPr>
          <w:ilvl w:val="0"/>
          <w:numId w:val="2"/>
        </w:numPr>
        <w:rPr/>
      </w:pPr>
      <w:r>
        <w:rPr>
          <w:rFonts w:ascii="Calibri" w:cs="Calibri" w:eastAsia="Calibri" w:hAnsi="Calibri"/>
          <w:sz w:val="24"/>
          <w:szCs w:val="24"/>
        </w:rPr>
        <w:t>As expected, Beverages dominated the product mix — this was confirmed and quantified at $110,577.11</w:t>
      </w:r>
    </w:p>
    <w:p w14:paraId="00000092">
      <w:pPr>
        <w:pStyle w:val="ListParagraph"/>
        <w:numPr>
          <w:ilvl w:val="0"/>
          <w:numId w:val="2"/>
        </w:numPr>
        <w:rPr/>
      </w:pPr>
      <w:r>
        <w:rPr>
          <w:rFonts w:ascii="Calibri" w:cs="Calibri" w:eastAsia="Calibri" w:hAnsi="Calibri"/>
          <w:sz w:val="24"/>
          <w:szCs w:val="24"/>
        </w:rPr>
        <w:t>The geographic concentration in a few cities was confirmed, with New York, Portland, and Miami accounting for a combined $167,534.18 of the top six shipping city revenue</w:t>
      </w:r>
    </w:p>
    <w:p w14:paraId="00000093">
      <w:pPr>
        <w:pStyle w:val="ListParagraph"/>
        <w:numPr>
          <w:ilvl w:val="0"/>
          <w:numId w:val="2"/>
        </w:numPr>
        <w:rPr/>
      </w:pPr>
      <w:r>
        <w:rPr>
          <w:rFonts w:ascii="Calibri" w:cs="Calibri" w:eastAsia="Calibri" w:hAnsi="Calibri"/>
          <w:sz w:val="24"/>
          <w:szCs w:val="24"/>
        </w:rPr>
        <w:t>The assumption that high transaction counts in lower revenue brackets might dilute average order value was confirmed — 60% of all transactions were below $1,010 in revenue</w:t>
      </w:r>
    </w:p>
    <w:p w14:paraId="00000094">
      <w:pPr>
        <w:pStyle w:val="ListParagraph"/>
        <w:numPr>
          <w:ilvl w:val="0"/>
          <w:numId w:val="2"/>
        </w:numPr>
        <w:rPr/>
      </w:pPr>
      <w:r>
        <w:rPr>
          <w:rFonts w:ascii="Calibri" w:cs="Calibri" w:eastAsia="Calibri" w:hAnsi="Calibri"/>
          <w:sz w:val="24"/>
          <w:szCs w:val="24"/>
        </w:rPr>
        <w:t>Unexpectedly, the West region — despite having three salespersons — underperformed relative to the North and East regions that each had only two, highlighting that headcount does not guarantee revenue output</w:t>
      </w:r>
    </w:p>
    <w:p w14:paraId="00000095">
      <w:pPr>
        <w:pStyle w:val="ListParagraph"/>
        <w:numPr>
          <w:ilvl w:val="0"/>
          <w:numId w:val="2"/>
        </w:numPr>
        <w:rPr/>
      </w:pPr>
      <w:r>
        <w:rPr>
          <w:rFonts w:ascii="Calibri" w:cs="Calibri" w:eastAsia="Calibri" w:hAnsi="Calibri"/>
          <w:sz w:val="24"/>
          <w:szCs w:val="24"/>
        </w:rPr>
        <w:t>The severity of Jan Kotas's underperformance was more pronounced than initially anticipated — his $16,350.50 represented less than 16% of Nancy's output in the same year</w:t>
      </w:r>
    </w:p>
    <w:p w14:paraId="00000096">
      <w:r>
        <w:rPr/>
        <w:br w:type="page"/>
      </w:r>
    </w:p>
    <w:p w14:paraId="00000097">
      <w:pPr>
        <w:pStyle w:val="Heading1"/>
        <w:rPr/>
      </w:pPr>
      <w:r>
        <w:t>8. Data Visualizations &amp; Charts</w:t>
      </w:r>
    </w:p>
    <w:p w14:paraId="00000098">
      <w:pPr>
        <w:spacing w:after="160"/>
        <w:rPr/>
      </w:pPr>
      <w:r>
        <w:rPr>
          <w:rFonts w:ascii="Calibri" w:cs="Calibri" w:eastAsia="Calibri" w:hAnsi="Calibri"/>
          <w:sz w:val="24"/>
          <w:szCs w:val="24"/>
        </w:rPr>
        <w:t>The following charts and visualisations were developed as part of the interactive dashboard to communicate key findings:</w:t>
      </w:r>
    </w:p>
    <w:p w14:paraId="00000099">
      <w:pPr>
        <w:pStyle w:val="Heading2"/>
        <w:rPr/>
      </w:pPr>
      <w:r>
        <w:t>8.1 Sales Trend Report (Line Chart)</w:t>
      </w:r>
    </w:p>
    <w:p w14:paraId="0000009A">
      <w:pPr>
        <w:spacing w:after="160"/>
        <w:rPr/>
      </w:pPr>
      <w:r>
        <w:rPr>
          <w:rFonts w:ascii="Calibri" w:cs="Calibri" w:eastAsia="Calibri" w:hAnsi="Calibri"/>
          <w:sz w:val="24"/>
          <w:szCs w:val="24"/>
        </w:rPr>
        <w:t>This line chart plots monthly revenue across all 12 months of 2014. It clearly illustrates the February dip ($19,985.50), the mid-year recovery peaking in June ($55,601.61), and the strong December close ($66,642.78). The chart includes a dotted trend line showing the general upward trajectory of revenue across the year.</w:t>
      </w:r>
    </w:p>
    <w:p w14:paraId="0000009B">
      <w:pPr>
        <w:pStyle w:val="Heading2"/>
        <w:rPr/>
      </w:pPr>
      <w:r>
        <w:t>8.2 Sales by Salesperson (Horizontal Bar Chart)</w:t>
      </w:r>
    </w:p>
    <w:p w14:paraId="0000009C">
      <w:pPr>
        <w:spacing w:after="160"/>
        <w:rPr/>
      </w:pPr>
      <w:r>
        <w:rPr>
          <w:rFonts w:ascii="Calibri" w:cs="Calibri" w:eastAsia="Calibri" w:hAnsi="Calibri"/>
          <w:sz w:val="24"/>
          <w:szCs w:val="24"/>
        </w:rPr>
        <w:t>A horizontal bar chart ranks all eight salespersons by total 2014 revenue. Nancy Freehafer's bar dominates the chart at $104,252.34, while Jan Kotas sits at the far bottom at $16,350.50. This visual makes the performance disparity immediately visible and accessible to any stakeholder.</w:t>
      </w:r>
    </w:p>
    <w:p w14:paraId="0000009D">
      <w:pPr>
        <w:pStyle w:val="Heading2"/>
        <w:rPr/>
      </w:pPr>
      <w:r>
        <w:t>8.3 Sales by Region (Pie/Doughnut Chart)</w:t>
      </w:r>
    </w:p>
    <w:p w14:paraId="0000009E">
      <w:pPr>
        <w:spacing w:after="160"/>
        <w:rPr/>
      </w:pPr>
      <w:r>
        <w:rPr>
          <w:rFonts w:ascii="Calibri" w:cs="Calibri" w:eastAsia="Calibri" w:hAnsi="Calibri"/>
          <w:sz w:val="24"/>
          <w:szCs w:val="24"/>
        </w:rPr>
        <w:t>A pie chart breaks down total revenue by region — North (North 32.7%), West (25%), East (21.7%), South (21.1%). The chart is colour-coded and includes value labels for each segment. When filtered by a specific salesperson, the chart collapses to a single-region circle, confirming each salesperson's exclusive regional assignment.</w:t>
      </w:r>
    </w:p>
    <w:p w14:paraId="0000009F">
      <w:pPr>
        <w:pStyle w:val="Heading2"/>
        <w:rPr/>
      </w:pPr>
      <w:r>
        <w:t>8.4 Product Category Performance (Treemap)</w:t>
      </w:r>
    </w:p>
    <w:p w14:paraId="000000A0">
      <w:pPr>
        <w:spacing w:after="160"/>
        <w:rPr/>
      </w:pPr>
      <w:r>
        <w:rPr>
          <w:rFonts w:ascii="Calibri" w:cs="Calibri" w:eastAsia="Calibri" w:hAnsi="Calibri"/>
          <w:sz w:val="24"/>
          <w:szCs w:val="24"/>
        </w:rPr>
        <w:t>A treemap chart visualises the six product categories by revenue. Beverages occupies the largest block, nearly twice the size of Sauces. Jams &amp; Preserves and Dairy Products form a middle tier, while Dried Fruit &amp; Nuts and Canned Meat occupy the smallest blocks. The treemap makes the product revenue hierarchy intuitive at a glance.</w:t>
      </w:r>
    </w:p>
    <w:p w14:paraId="000000A1">
      <w:pPr>
        <w:pStyle w:val="Heading2"/>
        <w:rPr/>
      </w:pPr>
      <w:r>
        <w:t>8.5 Top 6 Ship Cities by Revenue (Radar/Spider Chart)</w:t>
      </w:r>
    </w:p>
    <w:p w14:paraId="000000A2">
      <w:pPr>
        <w:spacing w:after="160"/>
        <w:rPr/>
      </w:pPr>
      <w:r>
        <w:rPr>
          <w:rFonts w:ascii="Calibri" w:cs="Calibri" w:eastAsia="Calibri" w:hAnsi="Calibri"/>
          <w:sz w:val="24"/>
          <w:szCs w:val="24"/>
        </w:rPr>
        <w:t>A radar chart compares the top six shipping cities — New York, Portland, Miami, Memphis, Chicago, and Milwaukee — by revenue. New York's point sits farthest from the centre, reflecting its dominance. The chart reveals how closely the other five cities are clustered in comparison, signalling balanced secondary market performance.</w:t>
      </w:r>
    </w:p>
    <w:p w14:paraId="000000A3">
      <w:pPr>
        <w:pStyle w:val="Heading2"/>
        <w:rPr/>
      </w:pPr>
      <w:r>
        <w:t>8.6 Cities Performance by Revenue (Horizontal Bar Chart)</w:t>
      </w:r>
    </w:p>
    <w:p w14:paraId="000000A4">
      <w:pPr>
        <w:spacing w:after="160"/>
        <w:rPr/>
      </w:pPr>
      <w:r>
        <w:rPr>
          <w:rFonts w:ascii="Calibri" w:cs="Calibri" w:eastAsia="Calibri" w:hAnsi="Calibri"/>
          <w:sz w:val="24"/>
          <w:szCs w:val="24"/>
        </w:rPr>
        <w:t>A horizontal bar chart ranks the top five cities by revenue, offering a clear direct comparison. New York leads at $67,180.50, followed closely by Portland ($50,208.35) and Miami ($50,145.33), with Memphis and Chicago trailing behind.</w:t>
      </w:r>
    </w:p>
    <w:p w14:paraId="000000A5">
      <w:pPr>
        <w:pStyle w:val="Heading2"/>
        <w:rPr/>
      </w:pPr>
      <w:r>
        <w:t>8.7 States Performance by Revenue (Map Chart)</w:t>
      </w:r>
    </w:p>
    <w:p w14:paraId="000000A6">
      <w:pPr>
        <w:spacing w:after="160"/>
        <w:rPr/>
      </w:pPr>
      <w:r>
        <w:rPr>
          <w:rFonts w:ascii="Calibri" w:cs="Calibri" w:eastAsia="Calibri" w:hAnsi="Calibri"/>
          <w:sz w:val="24"/>
          <w:szCs w:val="24"/>
        </w:rPr>
        <w:t>A filled map chart of the United States colour-codes states by revenue intensity, from light blue (lower revenue) to dark blue (higher revenue). New York and Oregon appear darkest, confirming their dominance. Western states show moderate shading, while states without customers remain neutral. This visual effectively communicates the geographic spread and concentration of the business.</w:t>
      </w:r>
    </w:p>
    <w:p w14:paraId="000000A7">
      <w:pPr>
        <w:pStyle w:val="Heading2"/>
        <w:rPr/>
      </w:pPr>
      <w:r>
        <w:t>8.8 Transaction by Amount (Column Chart)</w:t>
      </w:r>
    </w:p>
    <w:p w14:paraId="000000A8">
      <w:pPr>
        <w:spacing w:after="160"/>
        <w:rPr/>
      </w:pPr>
      <w:r>
        <w:rPr>
          <w:rFonts w:ascii="Calibri" w:cs="Calibri" w:eastAsia="Calibri" w:hAnsi="Calibri"/>
          <w:sz w:val="24"/>
          <w:szCs w:val="24"/>
        </w:rPr>
        <w:t>A column chart groups transactions into revenue brackets. The tallest column sits in the $10–$1,010 bracket with 221 transactions, declining steeply as bracket values increase. Only 2 transactions fell in the $6,010–$7,010 range and 1 in the $7,010–$8,010 range. This chart reveals that the business's revenue model is driven by high volumes of small transactions rather than fewer large deals.</w:t>
      </w:r>
    </w:p>
    <w:p w14:paraId="000000A9">
      <w:pPr>
        <w:pStyle w:val="Heading2"/>
        <w:rPr/>
      </w:pPr>
      <w:r>
        <w:t>8.9 Interactive Dashboard</w:t>
      </w:r>
    </w:p>
    <w:p w14:paraId="000000AA">
      <w:pPr>
        <w:spacing w:after="160"/>
        <w:rPr/>
      </w:pPr>
      <w:r>
        <w:rPr>
          <w:rFonts w:ascii="Calibri" w:cs="Calibri" w:eastAsia="Calibri" w:hAnsi="Calibri"/>
          <w:sz w:val="24"/>
          <w:szCs w:val="24"/>
        </w:rPr>
        <w:t>All charts were consolidated into a single interactive Excel dashboard featuring KPI summary cards at the top (Top Performing Month, Customer of Year, Top Region, Top State, Top Product) and two sets of slicers — one for salesperson selection and one for product category — allowing stakeholders to dynamically filter all charts simultaneously and explore the data from multiple perspectives.</w:t>
      </w:r>
    </w:p>
    <w:p w14:paraId="000000AB">
      <w:r>
        <w:rPr/>
        <w:br w:type="page"/>
      </w:r>
    </w:p>
    <w:p w14:paraId="000000AC">
      <w:pPr>
        <w:pStyle w:val="Heading1"/>
        <w:rPr/>
      </w:pPr>
      <w:r>
        <w:t>9. Recommendations and Observations</w:t>
      </w:r>
    </w:p>
    <w:p w14:paraId="000000AD">
      <w:pPr>
        <w:pStyle w:val="Heading2"/>
        <w:rPr/>
      </w:pPr>
      <w:r>
        <w:t>9.1 Actionable Insights</w:t>
      </w:r>
    </w:p>
    <w:p w14:paraId="000000AE">
      <w:pPr>
        <w:spacing w:after="120"/>
        <w:rPr/>
      </w:pPr>
      <w:r>
        <w:rPr>
          <w:rFonts w:ascii="Calibri" w:cs="Calibri" w:eastAsia="Calibri" w:hAnsi="Calibri"/>
          <w:sz w:val="24"/>
          <w:szCs w:val="24"/>
        </w:rPr>
        <w:t xml:space="preserve">Based on the full analysis, the following recommendations are made for </w:t>
      </w:r>
      <w:r>
        <w:rPr>
          <w:rFonts w:asciiTheme="minorAscii" w:cstheme="minorAscii" w:eastAsiaTheme="minorAscii" w:hAnsiTheme="minorAscii"/>
          <w:color w:val="000000"/>
          <w:sz w:val="24"/>
          <w:szCs w:val="24"/>
          <w:rtl w:val="off"/>
          <w:lang w:val="en-US"/>
        </w:rPr>
        <w:t>Habourview Retail Super Mart</w:t>
      </w:r>
      <w:r>
        <w:rPr>
          <w:rFonts w:ascii="Calibri" w:cs="Calibri" w:eastAsia="Calibri" w:hAnsi="Calibri"/>
          <w:sz w:val="24"/>
          <w:szCs w:val="24"/>
        </w:rPr>
        <w:t>'s 2015 strategy:</w:t>
      </w:r>
    </w:p>
    <w:p w14:paraId="000000AF">
      <w:pPr>
        <w:pStyle w:val="ListParagraph"/>
        <w:numPr>
          <w:ilvl w:val="0"/>
          <w:numId w:val="2"/>
        </w:numPr>
        <w:spacing w:after="80"/>
        <w:rPr/>
      </w:pPr>
      <w:r>
        <w:rPr>
          <w:rFonts w:ascii="Calibri" w:cs="Calibri" w:eastAsia="Calibri" w:hAnsi="Calibri"/>
          <w:sz w:val="24"/>
          <w:szCs w:val="24"/>
        </w:rPr>
        <w:t>Reduce personnel dependency by creating a succession and support plan for top performers, particularly Nancy Freehafer. Her $104,252.34 contribution represents approximately 33% of total revenue — a critical single point of failure if she were unavailable.</w:t>
      </w:r>
    </w:p>
    <w:p w14:paraId="000000B0">
      <w:pPr>
        <w:pStyle w:val="ListParagraph"/>
        <w:numPr>
          <w:ilvl w:val="0"/>
          <w:numId w:val="2"/>
        </w:numPr>
        <w:spacing w:after="80"/>
        <w:rPr/>
      </w:pPr>
      <w:r>
        <w:rPr>
          <w:rFonts w:ascii="Calibri" w:cs="Calibri" w:eastAsia="Calibri" w:hAnsi="Calibri"/>
          <w:sz w:val="24"/>
          <w:szCs w:val="24"/>
        </w:rPr>
        <w:t>Expand each salesperson's city portfolio. Most salespersons are anchored to a single city, exposing the business to significant revenue risk from any local market disruption. Each salesperson should be given a target to develop at least one new city in their territory by mid-2015.</w:t>
      </w:r>
    </w:p>
    <w:p w14:paraId="000000B1">
      <w:pPr>
        <w:pStyle w:val="ListParagraph"/>
        <w:numPr>
          <w:ilvl w:val="0"/>
          <w:numId w:val="2"/>
        </w:numPr>
        <w:spacing w:after="80"/>
        <w:rPr/>
      </w:pPr>
      <w:r>
        <w:rPr>
          <w:rFonts w:ascii="Calibri" w:cs="Calibri" w:eastAsia="Calibri" w:hAnsi="Calibri"/>
          <w:sz w:val="24"/>
          <w:szCs w:val="24"/>
        </w:rPr>
        <w:t>Address the February revenue dip with targeted Q1 campaigns. The consistent low across multiple salespersons in February suggests a systemic seasonal issue that can be mitigated through proactive customer outreach, bundle promotions, or early-year loyalty incentives.</w:t>
      </w:r>
    </w:p>
    <w:p w14:paraId="000000B2">
      <w:pPr>
        <w:pStyle w:val="ListParagraph"/>
        <w:numPr>
          <w:ilvl w:val="0"/>
          <w:numId w:val="2"/>
        </w:numPr>
        <w:spacing w:after="80"/>
        <w:rPr/>
      </w:pPr>
      <w:r>
        <w:rPr>
          <w:rFonts w:ascii="Calibri" w:cs="Calibri" w:eastAsia="Calibri" w:hAnsi="Calibri"/>
          <w:sz w:val="24"/>
          <w:szCs w:val="24"/>
        </w:rPr>
        <w:t>Implement a structured performance improvement plan for Jan Kotas. His $16,350.50 output — the lowest on the team — combined with erratic monthly figures and single-city dependency requires immediate managerial intervention, including coaching, territory review, and measurable monthly targets.</w:t>
      </w:r>
    </w:p>
    <w:p w14:paraId="000000B3">
      <w:pPr>
        <w:pStyle w:val="ListParagraph"/>
        <w:numPr>
          <w:ilvl w:val="0"/>
          <w:numId w:val="2"/>
        </w:numPr>
        <w:spacing w:after="80"/>
        <w:rPr/>
      </w:pPr>
      <w:r>
        <w:rPr>
          <w:rFonts w:ascii="Calibri" w:cs="Calibri" w:eastAsia="Calibri" w:hAnsi="Calibri"/>
          <w:sz w:val="24"/>
          <w:szCs w:val="24"/>
        </w:rPr>
        <w:t>Invest in growing mid-tier product categories through bundling and promotions. Jams &amp; Preserves, Dairy Products, Dried Fruit &amp; Nuts, and Canned Meat collectively represent significant untapped revenue potential that could be unlocked by pairing them with the dominant Beverages category.</w:t>
      </w:r>
    </w:p>
    <w:p w14:paraId="000000B4">
      <w:pPr>
        <w:pStyle w:val="ListParagraph"/>
        <w:numPr>
          <w:ilvl w:val="0"/>
          <w:numId w:val="2"/>
        </w:numPr>
        <w:spacing w:after="80"/>
        <w:rPr/>
      </w:pPr>
      <w:r>
        <w:rPr>
          <w:rFonts w:ascii="Calibri" w:cs="Calibri" w:eastAsia="Calibri" w:hAnsi="Calibri"/>
          <w:sz w:val="24"/>
          <w:szCs w:val="24"/>
        </w:rPr>
        <w:t>Review and rebalance the West region's three-way territory split. Mariya Sergienko ($42,370.88) significantly outperforms both Robert Zare ($32,530.60) and Jan Kotas ($16,350.50) within the same region. A territory realignment and account redistribution could better match opportunity to capability.</w:t>
      </w:r>
    </w:p>
    <w:p w14:paraId="000000B5">
      <w:pPr>
        <w:pStyle w:val="ListParagraph"/>
        <w:numPr>
          <w:ilvl w:val="0"/>
          <w:numId w:val="2"/>
        </w:numPr>
        <w:spacing w:after="80"/>
        <w:rPr/>
      </w:pPr>
      <w:r>
        <w:rPr>
          <w:rFonts w:ascii="Calibri" w:cs="Calibri" w:eastAsia="Calibri" w:hAnsi="Calibri"/>
          <w:sz w:val="24"/>
          <w:szCs w:val="24"/>
        </w:rPr>
        <w:t>Protect and grow the North region's revenue leadership by assigning Michael Neipper a secondary city target and increasing inventory and logistics support in Portland, Seattle, and Boise.</w:t>
      </w:r>
    </w:p>
    <w:p w14:paraId="000000B6">
      <w:pPr>
        <w:pStyle w:val="Heading2"/>
        <w:rPr/>
      </w:pPr>
      <w:r>
        <w:t>9.2 Unexpected Outcomes</w:t>
      </w:r>
    </w:p>
    <w:p w14:paraId="000000B7">
      <w:pPr>
        <w:spacing w:after="160"/>
        <w:rPr/>
      </w:pPr>
      <w:r>
        <w:rPr>
          <w:rFonts w:ascii="Calibri" w:cs="Calibri" w:eastAsia="Calibri" w:hAnsi="Calibri"/>
          <w:sz w:val="24"/>
          <w:szCs w:val="24"/>
        </w:rPr>
        <w:t>The most surprising finding of this analysis was the West region's underperformance relative to its headcount. With three of the eight salespersons (37.5% of the team), the West generated only $108,275.51 — or 34% of total revenue — while the North with two salespersons generated $141,680.34 (44.6% of revenue). This counter-intuitive result strongly suggests that territory assignment, account quality, and individual capability matter far more than raw headcount in driving regional performance.</w:t>
      </w:r>
    </w:p>
    <w:p w14:paraId="000000B8">
      <w:r>
        <w:rPr/>
        <w:br w:type="page"/>
      </w:r>
    </w:p>
    <w:p w14:paraId="000000B9">
      <w:pPr>
        <w:pStyle w:val="Heading1"/>
        <w:rPr/>
      </w:pPr>
      <w:r>
        <w:t>10. Conclusion</w:t>
      </w:r>
    </w:p>
    <w:p w14:paraId="000000BA">
      <w:pPr>
        <w:pStyle w:val="Heading2"/>
        <w:rPr/>
      </w:pPr>
      <w:r>
        <w:t>10.1 Key Learnings</w:t>
      </w:r>
    </w:p>
    <w:p w14:paraId="000000BB">
      <w:pPr>
        <w:spacing w:after="160"/>
        <w:rPr/>
      </w:pPr>
      <w:r>
        <w:rPr>
          <w:rFonts w:ascii="Calibri" w:cs="Calibri" w:eastAsia="Calibri" w:hAnsi="Calibri"/>
          <w:sz w:val="24"/>
          <w:szCs w:val="24"/>
        </w:rPr>
        <w:t xml:space="preserve">The </w:t>
      </w:r>
      <w:r>
        <w:rPr>
          <w:rFonts w:asciiTheme="minorAscii" w:cstheme="minorAscii" w:eastAsiaTheme="minorAscii" w:hAnsiTheme="minorAscii"/>
          <w:color w:val="000000"/>
          <w:sz w:val="24"/>
          <w:szCs w:val="24"/>
          <w:rtl w:val="off"/>
          <w:lang w:val="en-US"/>
        </w:rPr>
        <w:t>Habourview Retail Super Mart</w:t>
      </w:r>
      <w:r>
        <w:rPr>
          <w:rFonts w:ascii="Calibri" w:cs="Calibri" w:eastAsia="Calibri" w:hAnsi="Calibri"/>
          <w:sz w:val="24"/>
          <w:szCs w:val="24"/>
        </w:rPr>
        <w:t xml:space="preserve"> 2014 analysis delivered a clear and instructive picture of a business with genuine commercial strength but significant structural vulnerabilities. The most important learning from this project is that surface-level revenue figures can conceal deep concentration risks. The business generated over $317,000 in revenue in 2014 — a solid performance — but that performance was largely carried by two salespersons (Nancy Freehafer and Anne Larsen), two product categories (Beverages and Sauces), and a handful of cities (New York, Portland, and Miami).</w:t>
      </w:r>
    </w:p>
    <w:p w14:paraId="000000BC">
      <w:pPr>
        <w:spacing w:after="160"/>
        <w:rPr/>
      </w:pPr>
      <w:r>
        <w:rPr>
          <w:rFonts w:ascii="Calibri" w:cs="Calibri" w:eastAsia="Calibri" w:hAnsi="Calibri"/>
          <w:sz w:val="24"/>
          <w:szCs w:val="24"/>
        </w:rPr>
        <w:t>The analysis also reinforced the value of data-driven management. Patterns that would be invisible in a simple revenue summary — such as Jan Kotas's erratic monthly performance, the February team-wide dip, or the West region's disproportionate underperformance — became immediately actionable once visualised through the dashboard. This underscores the importance of going beyond headline numbers to understand the full story that data can tell.</w:t>
      </w:r>
    </w:p>
    <w:p w14:paraId="000000BD">
      <w:pPr>
        <w:pStyle w:val="Heading2"/>
        <w:rPr/>
      </w:pPr>
      <w:r>
        <w:t>10.2 Limitations</w:t>
      </w:r>
    </w:p>
    <w:p w14:paraId="000000BE">
      <w:pPr>
        <w:spacing w:after="120"/>
        <w:rPr/>
      </w:pPr>
      <w:r>
        <w:rPr>
          <w:rFonts w:ascii="Calibri" w:cs="Calibri" w:eastAsia="Calibri" w:hAnsi="Calibri"/>
          <w:sz w:val="24"/>
          <w:szCs w:val="24"/>
        </w:rPr>
        <w:t>This analysis was limited by the following factors:</w:t>
      </w:r>
    </w:p>
    <w:p w14:paraId="000000BF">
      <w:pPr>
        <w:pStyle w:val="ListParagraph"/>
        <w:numPr>
          <w:ilvl w:val="0"/>
          <w:numId w:val="2"/>
        </w:numPr>
        <w:rPr/>
      </w:pPr>
      <w:r>
        <w:rPr>
          <w:rFonts w:ascii="Calibri" w:cs="Calibri" w:eastAsia="Calibri" w:hAnsi="Calibri"/>
          <w:sz w:val="24"/>
          <w:szCs w:val="24"/>
        </w:rPr>
        <w:t>Single-year scope — the 2014 dataset alone cannot confirm whether the observed seasonal patterns are recurring trends or one-off anomalies</w:t>
      </w:r>
    </w:p>
    <w:p w14:paraId="000000C0">
      <w:pPr>
        <w:pStyle w:val="ListParagraph"/>
        <w:numPr>
          <w:ilvl w:val="0"/>
          <w:numId w:val="2"/>
        </w:numPr>
        <w:rPr/>
      </w:pPr>
      <w:r>
        <w:rPr>
          <w:rFonts w:ascii="Calibri" w:cs="Calibri" w:eastAsia="Calibri" w:hAnsi="Calibri"/>
          <w:sz w:val="24"/>
          <w:szCs w:val="24"/>
        </w:rPr>
        <w:t>Missing data — incomplete Shipped Date, Payment Type, and Product fields in some records may have marginally affected the accuracy of certain aggregations</w:t>
      </w:r>
    </w:p>
    <w:p w14:paraId="000000C1">
      <w:pPr>
        <w:pStyle w:val="ListParagraph"/>
        <w:numPr>
          <w:ilvl w:val="0"/>
          <w:numId w:val="2"/>
        </w:numPr>
        <w:rPr/>
      </w:pPr>
      <w:r>
        <w:rPr>
          <w:rFonts w:ascii="Calibri" w:cs="Calibri" w:eastAsia="Calibri" w:hAnsi="Calibri"/>
          <w:sz w:val="24"/>
          <w:szCs w:val="24"/>
        </w:rPr>
        <w:t>No external benchmarks — without industry comparatives, it is not possible to assess whether De Angels Super Mart's performance is above or below sector norms</w:t>
      </w:r>
    </w:p>
    <w:p w14:paraId="000000C2">
      <w:pPr>
        <w:pStyle w:val="ListParagraph"/>
        <w:numPr>
          <w:ilvl w:val="0"/>
          <w:numId w:val="2"/>
        </w:numPr>
        <w:rPr/>
      </w:pPr>
      <w:r>
        <w:rPr>
          <w:rFonts w:ascii="Calibri" w:cs="Calibri" w:eastAsia="Calibri" w:hAnsi="Calibri"/>
          <w:sz w:val="24"/>
          <w:szCs w:val="24"/>
        </w:rPr>
        <w:t>No cost data — the analysis was revenue-focused; without cost and margin data, it is not possible to determine which products or customers are most profitable rather than just highest revenue</w:t>
      </w:r>
    </w:p>
    <w:p w14:paraId="000000C3">
      <w:pPr>
        <w:pStyle w:val="Heading2"/>
        <w:rPr/>
      </w:pPr>
      <w:r>
        <w:t>10.3 Future Research</w:t>
      </w:r>
    </w:p>
    <w:p w14:paraId="000000C4">
      <w:pPr>
        <w:spacing w:after="120"/>
        <w:rPr/>
      </w:pPr>
      <w:r>
        <w:rPr>
          <w:rFonts w:ascii="Calibri" w:cs="Calibri" w:eastAsia="Calibri" w:hAnsi="Calibri"/>
          <w:sz w:val="24"/>
          <w:szCs w:val="24"/>
        </w:rPr>
        <w:t>The following areas would benefit from further investigation:</w:t>
      </w:r>
    </w:p>
    <w:p w14:paraId="000000C5">
      <w:pPr>
        <w:pStyle w:val="ListParagraph"/>
        <w:numPr>
          <w:ilvl w:val="0"/>
          <w:numId w:val="2"/>
        </w:numPr>
        <w:rPr/>
      </w:pPr>
      <w:r>
        <w:rPr>
          <w:rFonts w:ascii="Calibri" w:cs="Calibri" w:eastAsia="Calibri" w:hAnsi="Calibri"/>
          <w:sz w:val="24"/>
          <w:szCs w:val="24"/>
        </w:rPr>
        <w:t>Multi-year analysis — comparing 2014 performance against 2013 and 2015 data would validate seasonal patterns and measure year-over-year growth</w:t>
      </w:r>
    </w:p>
    <w:p w14:paraId="000000C6">
      <w:pPr>
        <w:pStyle w:val="ListParagraph"/>
        <w:numPr>
          <w:ilvl w:val="0"/>
          <w:numId w:val="2"/>
        </w:numPr>
        <w:rPr/>
      </w:pPr>
      <w:r>
        <w:rPr>
          <w:rFonts w:ascii="Calibri" w:cs="Calibri" w:eastAsia="Calibri" w:hAnsi="Calibri"/>
          <w:sz w:val="24"/>
          <w:szCs w:val="24"/>
        </w:rPr>
        <w:t>Customer segmentation — analysing the Top 10 customers in more depth to understand buying frequency, average order value, and product preferences</w:t>
      </w:r>
    </w:p>
    <w:p w14:paraId="000000C7">
      <w:pPr>
        <w:pStyle w:val="ListParagraph"/>
        <w:numPr>
          <w:ilvl w:val="0"/>
          <w:numId w:val="2"/>
        </w:numPr>
        <w:rPr/>
      </w:pPr>
      <w:r>
        <w:rPr>
          <w:rFonts w:ascii="Calibri" w:cs="Calibri" w:eastAsia="Calibri" w:hAnsi="Calibri"/>
          <w:sz w:val="24"/>
          <w:szCs w:val="24"/>
        </w:rPr>
        <w:t>Profitability analysis — incorporating cost of goods sold and shipping cost data to identify the most and least profitable products, customers, and regions</w:t>
      </w:r>
    </w:p>
    <w:p w14:paraId="000000C8">
      <w:pPr>
        <w:pStyle w:val="ListParagraph"/>
        <w:numPr>
          <w:ilvl w:val="0"/>
          <w:numId w:val="2"/>
        </w:numPr>
        <w:rPr/>
      </w:pPr>
      <w:r>
        <w:rPr>
          <w:rFonts w:ascii="Calibri" w:cs="Calibri" w:eastAsia="Calibri" w:hAnsi="Calibri"/>
          <w:sz w:val="24"/>
          <w:szCs w:val="24"/>
        </w:rPr>
        <w:t>Salesperson efficiency metrics — calculating revenue per transaction and revenue per customer for each salesperson to distinguish volume-driven performers from value-driven ones</w:t>
      </w:r>
    </w:p>
    <w:p w14:paraId="000000C9">
      <w:pPr>
        <w:pStyle w:val="ListParagraph"/>
        <w:numPr>
          <w:ilvl w:val="0"/>
          <w:numId w:val="2"/>
        </w:numPr>
        <w:rPr/>
      </w:pPr>
      <w:r>
        <w:rPr>
          <w:rFonts w:ascii="Calibri" w:cs="Calibri" w:eastAsia="Calibri" w:hAnsi="Calibri"/>
          <w:sz w:val="24"/>
          <w:szCs w:val="24"/>
        </w:rPr>
        <w:t>Forecasting model — using the 2014 monthly trend data as a baseline to build a simple 2015 revenue forecast that management can track actuals against</w:t>
      </w:r>
    </w:p>
    <w:p w14:paraId="000000CA">
      <w:r>
        <w:rPr/>
        <w:br w:type="page"/>
      </w:r>
    </w:p>
    <w:p w14:paraId="000000CB">
      <w:pPr>
        <w:pStyle w:val="Heading1"/>
        <w:rPr/>
      </w:pPr>
      <w:r>
        <w:t>11. References &amp; Appendices</w:t>
      </w:r>
    </w:p>
    <w:p w14:paraId="000000CC">
      <w:pPr>
        <w:pStyle w:val="Heading2"/>
        <w:rPr/>
      </w:pPr>
      <w:r>
        <w:t>11.1 References</w:t>
      </w:r>
    </w:p>
    <w:p w14:paraId="000000CD">
      <w:pPr>
        <w:pStyle w:val="ListParagraph"/>
        <w:numPr>
          <w:ilvl w:val="0"/>
          <w:numId w:val="2"/>
        </w:numPr>
        <w:rPr/>
      </w:pPr>
      <w:r>
        <w:rPr>
          <w:rFonts w:asciiTheme="minorAscii" w:cstheme="minorAscii" w:eastAsiaTheme="minorAscii" w:hAnsiTheme="minorAscii"/>
          <w:color w:val="000000"/>
          <w:sz w:val="24"/>
          <w:szCs w:val="24"/>
          <w:rtl w:val="off"/>
          <w:lang w:val="en-US"/>
        </w:rPr>
        <w:t>Habourview Retail Super Mart</w:t>
      </w:r>
      <w:r>
        <w:rPr>
          <w:rFonts w:ascii="Calibri" w:cs="Calibri" w:eastAsia="Calibri" w:hAnsi="Calibri"/>
          <w:sz w:val="24"/>
          <w:szCs w:val="24"/>
        </w:rPr>
        <w:t xml:space="preserve"> (2014). Internal Sales Transaction Dataset [Microsoft Excel file]. Provided as coursework material by Vephla University.</w:t>
      </w:r>
    </w:p>
    <w:p w14:paraId="000000CE">
      <w:pPr>
        <w:pStyle w:val="ListParagraph"/>
        <w:numPr>
          <w:ilvl w:val="0"/>
          <w:numId w:val="2"/>
        </w:numPr>
        <w:rPr/>
      </w:pPr>
      <w:r>
        <w:rPr>
          <w:rFonts w:ascii="Calibri" w:cs="Calibri" w:eastAsia="Calibri" w:hAnsi="Calibri"/>
          <w:sz w:val="24"/>
          <w:szCs w:val="24"/>
        </w:rPr>
        <w:t>Vephla University (2026). Data Analytics Programme — Task 21: Sales Data Analysis Brief. Vephla University Learning Portal.</w:t>
      </w:r>
    </w:p>
    <w:p w14:paraId="000000CF">
      <w:pPr>
        <w:pStyle w:val="ListParagraph"/>
        <w:numPr>
          <w:ilvl w:val="0"/>
          <w:numId w:val="2"/>
        </w:numPr>
        <w:rPr/>
      </w:pPr>
      <w:r>
        <w:rPr>
          <w:rFonts w:ascii="Calibri" w:cs="Calibri" w:eastAsia="Calibri" w:hAnsi="Calibri"/>
          <w:sz w:val="24"/>
          <w:szCs w:val="24"/>
        </w:rPr>
        <w:t>Microsoft Corporation (2024). Microsoft Excel Documentation — Pivot Tables, VLOOKUP, and Data Visualisation. Available at: https://support.microsoft.com</w:t>
      </w:r>
    </w:p>
    <w:p w14:paraId="000000D0">
      <w:pPr>
        <w:pStyle w:val="ListParagraph"/>
        <w:numPr>
          <w:ilvl w:val="0"/>
          <w:numId w:val="2"/>
        </w:numPr>
        <w:rPr/>
      </w:pPr>
      <w:r>
        <w:rPr>
          <w:rFonts w:ascii="Calibri" w:cs="Calibri" w:eastAsia="Calibri" w:hAnsi="Calibri"/>
          <w:sz w:val="24"/>
          <w:szCs w:val="24"/>
        </w:rPr>
        <w:t>Few, S. (2012). Show Me the Numbers: Designing Tables and Graphs to Enlighten (2nd ed.). Analytics Press.</w:t>
      </w:r>
    </w:p>
    <w:p w14:paraId="000000D1">
      <w:pPr>
        <w:pStyle w:val="ListParagraph"/>
        <w:numPr>
          <w:ilvl w:val="0"/>
          <w:numId w:val="2"/>
        </w:numPr>
        <w:rPr/>
      </w:pPr>
      <w:r>
        <w:rPr>
          <w:rFonts w:ascii="Calibri" w:cs="Calibri" w:eastAsia="Calibri" w:hAnsi="Calibri"/>
          <w:sz w:val="24"/>
          <w:szCs w:val="24"/>
        </w:rPr>
        <w:t>Tufte, E. R. (2001). The Visual Display of Quantitative Information (2nd ed.). Graphics Press.</w:t>
      </w:r>
    </w:p>
    <w:p w14:paraId="000000D2">
      <w:pPr>
        <w:pStyle w:val="Heading2"/>
        <w:rPr/>
      </w:pPr>
      <w:r>
        <w:t>11.2 Appendices</w:t>
      </w:r>
    </w:p>
    <w:p w14:paraId="000000D3">
      <w:pPr>
        <w:pStyle w:val="Heading3"/>
        <w:rPr/>
      </w:pPr>
      <w:r>
        <w:t>Appendix A: Summary Revenue Table by Salesperson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3000"/>
        <w:gridCol w:w="3000"/>
        <w:gridCol w:w="3000"/>
      </w:tblGrid>
      <w:tr>
        <w:trPr/>
        <w:tc>
          <w:tcPr>
            <w:cnfStyle w:val="100010000000"/>
            <w:tcW w:w="3000" w:type="dxa"/>
            <w:shd w:val="clear" w:color="2e74b5" w:fill="2e74b5"/>
          </w:tcPr>
          <w:p w14:paraId="000000D4">
            <w:r>
              <w:rPr>
                <w:rFonts w:ascii="Calibri" w:cs="Calibri" w:eastAsia="Calibri" w:hAnsi="Calibri"/>
                <w:b/>
                <w:bCs/>
                <w:color w:val="ffffff"/>
                <w:sz w:val="22"/>
                <w:szCs w:val="22"/>
              </w:rPr>
              <w:t>Salesperson</w:t>
            </w:r>
          </w:p>
        </w:tc>
        <w:tc>
          <w:tcPr>
            <w:cnfStyle w:val="100001000000"/>
            <w:tcW w:w="3000" w:type="dxa"/>
            <w:shd w:val="clear" w:color="2e74b5" w:fill="2e74b5"/>
          </w:tcPr>
          <w:p w14:paraId="000000D5">
            <w:r>
              <w:rPr>
                <w:rFonts w:ascii="Calibri" w:cs="Calibri" w:eastAsia="Calibri" w:hAnsi="Calibri"/>
                <w:b/>
                <w:bCs/>
                <w:color w:val="ffffff"/>
                <w:sz w:val="22"/>
                <w:szCs w:val="22"/>
              </w:rPr>
              <w:t>Region</w:t>
            </w:r>
          </w:p>
        </w:tc>
        <w:tc>
          <w:tcPr>
            <w:cnfStyle w:val="100010000000"/>
            <w:tcW w:w="3000" w:type="dxa"/>
            <w:shd w:val="clear" w:color="2e74b5" w:fill="2e74b5"/>
          </w:tcPr>
          <w:p w14:paraId="000000D6">
            <w:r>
              <w:rPr>
                <w:rFonts w:ascii="Calibri" w:cs="Calibri" w:eastAsia="Calibri" w:hAnsi="Calibri"/>
                <w:b/>
                <w:bCs/>
                <w:color w:val="ffffff"/>
                <w:sz w:val="22"/>
                <w:szCs w:val="22"/>
              </w:rPr>
              <w:t>Total Revenue (2014)</w:t>
            </w:r>
          </w:p>
        </w:tc>
      </w:tr>
      <w:tr>
        <w:trPr/>
        <w:tc>
          <w:tcPr>
            <w:cnfStyle w:val="000010000000"/>
            <w:tcW w:w="3000" w:type="dxa"/>
            <w:shd w:val="clear" w:color="ffffff" w:fill="ffffff"/>
          </w:tcPr>
          <w:p w14:paraId="000000D7">
            <w:r>
              <w:rPr>
                <w:rFonts w:ascii="Calibri" w:cs="Calibri" w:eastAsia="Calibri" w:hAnsi="Calibri"/>
                <w:sz w:val="22"/>
                <w:szCs w:val="22"/>
              </w:rPr>
              <w:t>Nancy Freehafer</w:t>
            </w:r>
          </w:p>
        </w:tc>
        <w:tc>
          <w:tcPr>
            <w:cnfStyle w:val="000001000000"/>
            <w:tcW w:w="3000" w:type="dxa"/>
            <w:shd w:val="clear" w:color="ffffff" w:fill="ffffff"/>
          </w:tcPr>
          <w:p w14:paraId="000000D8">
            <w:r>
              <w:rPr>
                <w:rFonts w:ascii="Calibri" w:cs="Calibri" w:eastAsia="Calibri" w:hAnsi="Calibri"/>
                <w:sz w:val="22"/>
                <w:szCs w:val="22"/>
              </w:rPr>
              <w:t>North</w:t>
            </w:r>
          </w:p>
        </w:tc>
        <w:tc>
          <w:tcPr>
            <w:cnfStyle w:val="000010000000"/>
            <w:tcW w:w="3000" w:type="dxa"/>
            <w:shd w:val="clear" w:color="ffffff" w:fill="ffffff"/>
          </w:tcPr>
          <w:p w14:paraId="000000D9">
            <w:r>
              <w:rPr>
                <w:rFonts w:ascii="Calibri" w:cs="Calibri" w:eastAsia="Calibri" w:hAnsi="Calibri"/>
                <w:sz w:val="22"/>
                <w:szCs w:val="22"/>
              </w:rPr>
              <w:t>$104,252.34</w:t>
            </w:r>
          </w:p>
        </w:tc>
      </w:tr>
      <w:tr>
        <w:trPr/>
        <w:tc>
          <w:tcPr>
            <w:cnfStyle w:val="000010000000"/>
            <w:tcW w:w="3000" w:type="dxa"/>
            <w:shd w:val="clear" w:color="deeaf1" w:fill="deeaf1"/>
          </w:tcPr>
          <w:p w14:paraId="000000DA">
            <w:r>
              <w:rPr>
                <w:rFonts w:ascii="Calibri" w:cs="Calibri" w:eastAsia="Calibri" w:hAnsi="Calibri"/>
                <w:sz w:val="22"/>
                <w:szCs w:val="22"/>
              </w:rPr>
              <w:t>Anne Larsen</w:t>
            </w:r>
          </w:p>
        </w:tc>
        <w:tc>
          <w:tcPr>
            <w:cnfStyle w:val="000001000000"/>
            <w:tcW w:w="3000" w:type="dxa"/>
            <w:shd w:val="clear" w:color="deeaf1" w:fill="deeaf1"/>
          </w:tcPr>
          <w:p w14:paraId="000000DB">
            <w:r>
              <w:rPr>
                <w:rFonts w:ascii="Calibri" w:cs="Calibri" w:eastAsia="Calibri" w:hAnsi="Calibri"/>
                <w:sz w:val="22"/>
                <w:szCs w:val="22"/>
              </w:rPr>
              <w:t>South</w:t>
            </w:r>
          </w:p>
        </w:tc>
        <w:tc>
          <w:tcPr>
            <w:cnfStyle w:val="000010000000"/>
            <w:tcW w:w="3000" w:type="dxa"/>
            <w:shd w:val="clear" w:color="deeaf1" w:fill="deeaf1"/>
          </w:tcPr>
          <w:p w14:paraId="000000DC">
            <w:r>
              <w:rPr>
                <w:rFonts w:ascii="Calibri" w:cs="Calibri" w:eastAsia="Calibri" w:hAnsi="Calibri"/>
                <w:sz w:val="22"/>
                <w:szCs w:val="22"/>
              </w:rPr>
              <w:t>$93,858.33</w:t>
            </w:r>
          </w:p>
        </w:tc>
      </w:tr>
      <w:tr>
        <w:trPr/>
        <w:tc>
          <w:tcPr>
            <w:cnfStyle w:val="000010000000"/>
            <w:tcW w:w="3000" w:type="dxa"/>
            <w:shd w:val="clear" w:color="ffffff" w:fill="ffffff"/>
          </w:tcPr>
          <w:p w14:paraId="000000DD">
            <w:r>
              <w:rPr>
                <w:rFonts w:ascii="Calibri" w:cs="Calibri" w:eastAsia="Calibri" w:hAnsi="Calibri"/>
                <w:sz w:val="22"/>
                <w:szCs w:val="22"/>
              </w:rPr>
              <w:t>Andrew Cencini</w:t>
            </w:r>
          </w:p>
        </w:tc>
        <w:tc>
          <w:tcPr>
            <w:cnfStyle w:val="000001000000"/>
            <w:tcW w:w="3000" w:type="dxa"/>
            <w:shd w:val="clear" w:color="ffffff" w:fill="ffffff"/>
          </w:tcPr>
          <w:p w14:paraId="000000DE">
            <w:r>
              <w:rPr>
                <w:rFonts w:ascii="Calibri" w:cs="Calibri" w:eastAsia="Calibri" w:hAnsi="Calibri"/>
                <w:sz w:val="22"/>
                <w:szCs w:val="22"/>
              </w:rPr>
              <w:t>East</w:t>
            </w:r>
          </w:p>
        </w:tc>
        <w:tc>
          <w:tcPr>
            <w:cnfStyle w:val="000010000000"/>
            <w:tcW w:w="3000" w:type="dxa"/>
            <w:shd w:val="clear" w:color="ffffff" w:fill="ffffff"/>
          </w:tcPr>
          <w:p w14:paraId="000000DF">
            <w:r>
              <w:rPr>
                <w:rFonts w:ascii="Calibri" w:cs="Calibri" w:eastAsia="Calibri" w:hAnsi="Calibri"/>
                <w:sz w:val="22"/>
                <w:szCs w:val="22"/>
              </w:rPr>
              <w:t>$67,180.50</w:t>
            </w:r>
          </w:p>
        </w:tc>
      </w:tr>
      <w:tr>
        <w:trPr/>
        <w:tc>
          <w:tcPr>
            <w:cnfStyle w:val="000010000000"/>
            <w:tcW w:w="3000" w:type="dxa"/>
            <w:shd w:val="clear" w:color="deeaf1" w:fill="deeaf1"/>
          </w:tcPr>
          <w:p w14:paraId="000000E0">
            <w:r>
              <w:rPr>
                <w:rFonts w:ascii="Calibri" w:cs="Calibri" w:eastAsia="Calibri" w:hAnsi="Calibri"/>
                <w:sz w:val="22"/>
                <w:szCs w:val="22"/>
              </w:rPr>
              <w:t>Mariya Sergienko</w:t>
            </w:r>
          </w:p>
        </w:tc>
        <w:tc>
          <w:tcPr>
            <w:cnfStyle w:val="000001000000"/>
            <w:tcW w:w="3000" w:type="dxa"/>
            <w:shd w:val="clear" w:color="deeaf1" w:fill="deeaf1"/>
          </w:tcPr>
          <w:p w14:paraId="000000E1">
            <w:r>
              <w:rPr>
                <w:rFonts w:ascii="Calibri" w:cs="Calibri" w:eastAsia="Calibri" w:hAnsi="Calibri"/>
                <w:sz w:val="22"/>
                <w:szCs w:val="22"/>
              </w:rPr>
              <w:t>West</w:t>
            </w:r>
          </w:p>
        </w:tc>
        <w:tc>
          <w:tcPr>
            <w:cnfStyle w:val="000010000000"/>
            <w:tcW w:w="3000" w:type="dxa"/>
            <w:shd w:val="clear" w:color="deeaf1" w:fill="deeaf1"/>
          </w:tcPr>
          <w:p w14:paraId="000000E2">
            <w:r>
              <w:rPr>
                <w:rFonts w:ascii="Calibri" w:cs="Calibri" w:eastAsia="Calibri" w:hAnsi="Calibri"/>
                <w:sz w:val="22"/>
                <w:szCs w:val="22"/>
              </w:rPr>
              <w:t>$42,370.88</w:t>
            </w:r>
          </w:p>
        </w:tc>
      </w:tr>
      <w:tr>
        <w:trPr/>
        <w:tc>
          <w:tcPr>
            <w:cnfStyle w:val="000010000000"/>
            <w:tcW w:w="3000" w:type="dxa"/>
            <w:shd w:val="clear" w:color="ffffff" w:fill="ffffff"/>
          </w:tcPr>
          <w:p w14:paraId="000000E3">
            <w:r>
              <w:rPr>
                <w:rFonts w:ascii="Calibri" w:cs="Calibri" w:eastAsia="Calibri" w:hAnsi="Calibri"/>
                <w:sz w:val="22"/>
                <w:szCs w:val="22"/>
              </w:rPr>
              <w:t>Laura Giussani</w:t>
            </w:r>
          </w:p>
        </w:tc>
        <w:tc>
          <w:tcPr>
            <w:cnfStyle w:val="000001000000"/>
            <w:tcW w:w="3000" w:type="dxa"/>
            <w:shd w:val="clear" w:color="ffffff" w:fill="ffffff"/>
          </w:tcPr>
          <w:p w14:paraId="000000E4">
            <w:r>
              <w:rPr>
                <w:rFonts w:ascii="Calibri" w:cs="Calibri" w:eastAsia="Calibri" w:hAnsi="Calibri"/>
                <w:sz w:val="22"/>
                <w:szCs w:val="22"/>
              </w:rPr>
              <w:t>East</w:t>
            </w:r>
          </w:p>
        </w:tc>
        <w:tc>
          <w:tcPr>
            <w:cnfStyle w:val="000010000000"/>
            <w:tcW w:w="3000" w:type="dxa"/>
            <w:shd w:val="clear" w:color="ffffff" w:fill="ffffff"/>
          </w:tcPr>
          <w:p w14:paraId="000000E5">
            <w:r>
              <w:rPr>
                <w:rFonts w:ascii="Calibri" w:cs="Calibri" w:eastAsia="Calibri" w:hAnsi="Calibri"/>
                <w:sz w:val="22"/>
                <w:szCs w:val="22"/>
              </w:rPr>
              <w:t>$41,095.01</w:t>
            </w:r>
          </w:p>
        </w:tc>
      </w:tr>
      <w:tr>
        <w:trPr/>
        <w:tc>
          <w:tcPr>
            <w:cnfStyle w:val="000010000000"/>
            <w:tcW w:w="3000" w:type="dxa"/>
            <w:shd w:val="clear" w:color="deeaf1" w:fill="deeaf1"/>
          </w:tcPr>
          <w:p w14:paraId="000000E6">
            <w:r>
              <w:rPr>
                <w:rFonts w:ascii="Calibri" w:cs="Calibri" w:eastAsia="Calibri" w:hAnsi="Calibri"/>
                <w:sz w:val="22"/>
                <w:szCs w:val="22"/>
              </w:rPr>
              <w:t>Michael Neipper</w:t>
            </w:r>
          </w:p>
        </w:tc>
        <w:tc>
          <w:tcPr>
            <w:cnfStyle w:val="000001000000"/>
            <w:tcW w:w="3000" w:type="dxa"/>
            <w:shd w:val="clear" w:color="deeaf1" w:fill="deeaf1"/>
          </w:tcPr>
          <w:p w14:paraId="000000E7">
            <w:r>
              <w:rPr>
                <w:rFonts w:ascii="Calibri" w:cs="Calibri" w:eastAsia="Calibri" w:hAnsi="Calibri"/>
                <w:sz w:val="22"/>
                <w:szCs w:val="22"/>
              </w:rPr>
              <w:t>North</w:t>
            </w:r>
          </w:p>
        </w:tc>
        <w:tc>
          <w:tcPr>
            <w:cnfStyle w:val="000010000000"/>
            <w:tcW w:w="3000" w:type="dxa"/>
            <w:shd w:val="clear" w:color="deeaf1" w:fill="deeaf1"/>
          </w:tcPr>
          <w:p w14:paraId="000000E8">
            <w:r>
              <w:rPr>
                <w:rFonts w:ascii="Calibri" w:cs="Calibri" w:eastAsia="Calibri" w:hAnsi="Calibri"/>
                <w:sz w:val="22"/>
                <w:szCs w:val="22"/>
              </w:rPr>
              <w:t>$37,428.00</w:t>
            </w:r>
          </w:p>
        </w:tc>
      </w:tr>
      <w:tr>
        <w:trPr/>
        <w:tc>
          <w:tcPr>
            <w:cnfStyle w:val="000010000000"/>
            <w:tcW w:w="3000" w:type="dxa"/>
            <w:shd w:val="clear" w:color="ffffff" w:fill="ffffff"/>
          </w:tcPr>
          <w:p w14:paraId="000000E9">
            <w:r>
              <w:rPr>
                <w:rFonts w:ascii="Calibri" w:cs="Calibri" w:eastAsia="Calibri" w:hAnsi="Calibri"/>
                <w:sz w:val="22"/>
                <w:szCs w:val="22"/>
              </w:rPr>
              <w:t>Robert Zare</w:t>
            </w:r>
          </w:p>
        </w:tc>
        <w:tc>
          <w:tcPr>
            <w:cnfStyle w:val="000001000000"/>
            <w:tcW w:w="3000" w:type="dxa"/>
            <w:shd w:val="clear" w:color="ffffff" w:fill="ffffff"/>
          </w:tcPr>
          <w:p w14:paraId="000000EA">
            <w:r>
              <w:rPr>
                <w:rFonts w:ascii="Calibri" w:cs="Calibri" w:eastAsia="Calibri" w:hAnsi="Calibri"/>
                <w:sz w:val="22"/>
                <w:szCs w:val="22"/>
              </w:rPr>
              <w:t>West</w:t>
            </w:r>
          </w:p>
        </w:tc>
        <w:tc>
          <w:tcPr>
            <w:cnfStyle w:val="000010000000"/>
            <w:tcW w:w="3000" w:type="dxa"/>
            <w:shd w:val="clear" w:color="ffffff" w:fill="ffffff"/>
          </w:tcPr>
          <w:p w14:paraId="000000EB">
            <w:r>
              <w:rPr>
                <w:rFonts w:ascii="Calibri" w:cs="Calibri" w:eastAsia="Calibri" w:hAnsi="Calibri"/>
                <w:sz w:val="22"/>
                <w:szCs w:val="22"/>
              </w:rPr>
              <w:t>$32,530.60</w:t>
            </w:r>
          </w:p>
        </w:tc>
      </w:tr>
      <w:tr>
        <w:trPr/>
        <w:tc>
          <w:tcPr>
            <w:cnfStyle w:val="000010000000"/>
            <w:tcW w:w="3000" w:type="dxa"/>
            <w:shd w:val="clear" w:color="deeaf1" w:fill="deeaf1"/>
          </w:tcPr>
          <w:p w14:paraId="000000EC">
            <w:r>
              <w:rPr>
                <w:rFonts w:ascii="Calibri" w:cs="Calibri" w:eastAsia="Calibri" w:hAnsi="Calibri"/>
                <w:sz w:val="22"/>
                <w:szCs w:val="22"/>
              </w:rPr>
              <w:t>Jan Kotas</w:t>
            </w:r>
          </w:p>
        </w:tc>
        <w:tc>
          <w:tcPr>
            <w:cnfStyle w:val="000001000000"/>
            <w:tcW w:w="3000" w:type="dxa"/>
            <w:shd w:val="clear" w:color="deeaf1" w:fill="deeaf1"/>
          </w:tcPr>
          <w:p w14:paraId="000000ED">
            <w:r>
              <w:rPr>
                <w:rFonts w:ascii="Calibri" w:cs="Calibri" w:eastAsia="Calibri" w:hAnsi="Calibri"/>
                <w:sz w:val="22"/>
                <w:szCs w:val="22"/>
              </w:rPr>
              <w:t>West</w:t>
            </w:r>
          </w:p>
        </w:tc>
        <w:tc>
          <w:tcPr>
            <w:cnfStyle w:val="000010000000"/>
            <w:tcW w:w="3000" w:type="dxa"/>
            <w:shd w:val="clear" w:color="deeaf1" w:fill="deeaf1"/>
          </w:tcPr>
          <w:p w14:paraId="000000EE">
            <w:r>
              <w:rPr>
                <w:rFonts w:ascii="Calibri" w:cs="Calibri" w:eastAsia="Calibri" w:hAnsi="Calibri"/>
                <w:sz w:val="22"/>
                <w:szCs w:val="22"/>
              </w:rPr>
              <w:t>$16,350.50</w:t>
            </w:r>
          </w:p>
        </w:tc>
      </w:tr>
    </w:tbl>
    <w:p w14:paraId="000000EF">
      <w:pPr>
        <w:spacing w:before="240"/>
        <w:rPr/>
      </w:pPr>
    </w:p>
    <w:p w14:paraId="000000F0">
      <w:pPr>
        <w:pStyle w:val="Heading3"/>
        <w:rPr/>
      </w:pPr>
      <w:r>
        <w:t>Appendix B: Product Category Revenue Summary</w:t>
      </w:r>
    </w:p>
    <w:tbl>
      <w:tblPr>
        <w:tblW w:w="6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3000"/>
        <w:gridCol w:w="3000"/>
      </w:tblGrid>
      <w:tr>
        <w:trPr/>
        <w:tc>
          <w:tcPr>
            <w:cnfStyle w:val="100010000000"/>
            <w:tcW w:w="3000" w:type="dxa"/>
            <w:shd w:val="clear" w:color="2e74b5" w:fill="2e74b5"/>
          </w:tcPr>
          <w:p w14:paraId="000000F1">
            <w:r>
              <w:rPr>
                <w:rFonts w:ascii="Calibri" w:cs="Calibri" w:eastAsia="Calibri" w:hAnsi="Calibri"/>
                <w:b/>
                <w:bCs/>
                <w:color w:val="ffffff"/>
                <w:sz w:val="22"/>
                <w:szCs w:val="22"/>
              </w:rPr>
              <w:t>Product Category</w:t>
            </w:r>
          </w:p>
        </w:tc>
        <w:tc>
          <w:tcPr>
            <w:cnfStyle w:val="100001000000"/>
            <w:tcW w:w="3000" w:type="dxa"/>
            <w:shd w:val="clear" w:color="2e74b5" w:fill="2e74b5"/>
          </w:tcPr>
          <w:p w14:paraId="000000F2">
            <w:r>
              <w:rPr>
                <w:rFonts w:ascii="Calibri" w:cs="Calibri" w:eastAsia="Calibri" w:hAnsi="Calibri"/>
                <w:b/>
                <w:bCs/>
                <w:color w:val="ffffff"/>
                <w:sz w:val="22"/>
                <w:szCs w:val="22"/>
              </w:rPr>
              <w:t>Total Revenue</w:t>
            </w:r>
          </w:p>
        </w:tc>
      </w:tr>
      <w:tr>
        <w:trPr/>
        <w:tc>
          <w:tcPr>
            <w:cnfStyle w:val="000010000000"/>
            <w:tcW w:w="3000" w:type="dxa"/>
            <w:shd w:val="clear" w:color="ffffff" w:fill="ffffff"/>
          </w:tcPr>
          <w:p w14:paraId="000000F3">
            <w:r>
              <w:rPr>
                <w:rFonts w:ascii="Calibri" w:cs="Calibri" w:eastAsia="Calibri" w:hAnsi="Calibri"/>
                <w:sz w:val="22"/>
                <w:szCs w:val="22"/>
              </w:rPr>
              <w:t>Beverages</w:t>
            </w:r>
          </w:p>
        </w:tc>
        <w:tc>
          <w:tcPr>
            <w:cnfStyle w:val="000001000000"/>
            <w:tcW w:w="3000" w:type="dxa"/>
            <w:shd w:val="clear" w:color="ffffff" w:fill="ffffff"/>
          </w:tcPr>
          <w:p w14:paraId="000000F4">
            <w:r>
              <w:rPr>
                <w:rFonts w:ascii="Calibri" w:cs="Calibri" w:eastAsia="Calibri" w:hAnsi="Calibri"/>
                <w:sz w:val="22"/>
                <w:szCs w:val="22"/>
              </w:rPr>
              <w:t>$110,577.11</w:t>
            </w:r>
          </w:p>
        </w:tc>
      </w:tr>
      <w:tr>
        <w:trPr/>
        <w:tc>
          <w:tcPr>
            <w:cnfStyle w:val="000010000000"/>
            <w:tcW w:w="3000" w:type="dxa"/>
            <w:shd w:val="clear" w:color="deeaf1" w:fill="deeaf1"/>
          </w:tcPr>
          <w:p w14:paraId="000000F5">
            <w:r>
              <w:rPr>
                <w:rFonts w:ascii="Calibri" w:cs="Calibri" w:eastAsia="Calibri" w:hAnsi="Calibri"/>
                <w:sz w:val="22"/>
                <w:szCs w:val="22"/>
              </w:rPr>
              <w:t>Sauces</w:t>
            </w:r>
          </w:p>
        </w:tc>
        <w:tc>
          <w:tcPr>
            <w:cnfStyle w:val="000001000000"/>
            <w:tcW w:w="3000" w:type="dxa"/>
            <w:shd w:val="clear" w:color="deeaf1" w:fill="deeaf1"/>
          </w:tcPr>
          <w:p w14:paraId="000000F6">
            <w:r>
              <w:rPr>
                <w:rFonts w:ascii="Calibri" w:cs="Calibri" w:eastAsia="Calibri" w:hAnsi="Calibri"/>
                <w:sz w:val="22"/>
                <w:szCs w:val="22"/>
              </w:rPr>
              <w:t>$69,000.00</w:t>
            </w:r>
          </w:p>
        </w:tc>
      </w:tr>
      <w:tr>
        <w:trPr/>
        <w:tc>
          <w:tcPr>
            <w:cnfStyle w:val="000010000000"/>
            <w:tcW w:w="3000" w:type="dxa"/>
            <w:shd w:val="clear" w:color="ffffff" w:fill="ffffff"/>
          </w:tcPr>
          <w:p w14:paraId="000000F7">
            <w:r>
              <w:rPr>
                <w:rFonts w:ascii="Calibri" w:cs="Calibri" w:eastAsia="Calibri" w:hAnsi="Calibri"/>
                <w:sz w:val="22"/>
                <w:szCs w:val="22"/>
              </w:rPr>
              <w:t>Jams, Preserves</w:t>
            </w:r>
          </w:p>
        </w:tc>
        <w:tc>
          <w:tcPr>
            <w:cnfStyle w:val="000001000000"/>
            <w:tcW w:w="3000" w:type="dxa"/>
            <w:shd w:val="clear" w:color="ffffff" w:fill="ffffff"/>
          </w:tcPr>
          <w:p w14:paraId="000000F8">
            <w:r>
              <w:rPr>
                <w:rFonts w:ascii="Calibri" w:cs="Calibri" w:eastAsia="Calibri" w:hAnsi="Calibri"/>
                <w:sz w:val="22"/>
                <w:szCs w:val="22"/>
              </w:rPr>
              <w:t>$51,541.00</w:t>
            </w:r>
          </w:p>
        </w:tc>
      </w:tr>
      <w:tr>
        <w:trPr/>
        <w:tc>
          <w:tcPr>
            <w:cnfStyle w:val="000010000000"/>
            <w:tcW w:w="3000" w:type="dxa"/>
            <w:shd w:val="clear" w:color="deeaf1" w:fill="deeaf1"/>
          </w:tcPr>
          <w:p w14:paraId="000000F9">
            <w:r>
              <w:rPr>
                <w:rFonts w:ascii="Calibri" w:cs="Calibri" w:eastAsia="Calibri" w:hAnsi="Calibri"/>
                <w:sz w:val="22"/>
                <w:szCs w:val="22"/>
              </w:rPr>
              <w:t>Dairy Products</w:t>
            </w:r>
          </w:p>
        </w:tc>
        <w:tc>
          <w:tcPr>
            <w:cnfStyle w:val="000001000000"/>
            <w:tcW w:w="3000" w:type="dxa"/>
            <w:shd w:val="clear" w:color="deeaf1" w:fill="deeaf1"/>
          </w:tcPr>
          <w:p w14:paraId="000000FA">
            <w:r>
              <w:rPr>
                <w:rFonts w:ascii="Calibri" w:cs="Calibri" w:eastAsia="Calibri" w:hAnsi="Calibri"/>
                <w:sz w:val="22"/>
                <w:szCs w:val="22"/>
              </w:rPr>
              <w:t>$33,129.60</w:t>
            </w:r>
          </w:p>
        </w:tc>
      </w:tr>
      <w:tr>
        <w:trPr/>
        <w:tc>
          <w:tcPr>
            <w:cnfStyle w:val="000010000000"/>
            <w:tcW w:w="3000" w:type="dxa"/>
            <w:shd w:val="clear" w:color="ffffff" w:fill="ffffff"/>
          </w:tcPr>
          <w:p w14:paraId="000000FB">
            <w:r>
              <w:rPr>
                <w:rFonts w:ascii="Calibri" w:cs="Calibri" w:eastAsia="Calibri" w:hAnsi="Calibri"/>
                <w:sz w:val="22"/>
                <w:szCs w:val="22"/>
              </w:rPr>
              <w:t>Dried Fruit &amp; Nuts</w:t>
            </w:r>
          </w:p>
        </w:tc>
        <w:tc>
          <w:tcPr>
            <w:cnfStyle w:val="000001000000"/>
            <w:tcW w:w="3000" w:type="dxa"/>
            <w:shd w:val="clear" w:color="ffffff" w:fill="ffffff"/>
          </w:tcPr>
          <w:p w14:paraId="000000FC">
            <w:r>
              <w:rPr>
                <w:rFonts w:ascii="Calibri" w:cs="Calibri" w:eastAsia="Calibri" w:hAnsi="Calibri"/>
                <w:sz w:val="22"/>
                <w:szCs w:val="22"/>
              </w:rPr>
              <w:t>$27,999.50</w:t>
            </w:r>
          </w:p>
        </w:tc>
      </w:tr>
      <w:tr>
        <w:trPr/>
        <w:tc>
          <w:tcPr>
            <w:cnfStyle w:val="000010000000"/>
            <w:tcW w:w="3000" w:type="dxa"/>
            <w:shd w:val="clear" w:color="deeaf1" w:fill="deeaf1"/>
          </w:tcPr>
          <w:p w14:paraId="000000FD">
            <w:r>
              <w:rPr>
                <w:rFonts w:ascii="Calibri" w:cs="Calibri" w:eastAsia="Calibri" w:hAnsi="Calibri"/>
                <w:sz w:val="22"/>
                <w:szCs w:val="22"/>
              </w:rPr>
              <w:t>Canned Meat</w:t>
            </w:r>
          </w:p>
        </w:tc>
        <w:tc>
          <w:tcPr>
            <w:cnfStyle w:val="000001000000"/>
            <w:tcW w:w="3000" w:type="dxa"/>
            <w:shd w:val="clear" w:color="deeaf1" w:fill="deeaf1"/>
          </w:tcPr>
          <w:p w14:paraId="000000FE">
            <w:r>
              <w:rPr>
                <w:rFonts w:ascii="Calibri" w:cs="Calibri" w:eastAsia="Calibri" w:hAnsi="Calibri"/>
                <w:sz w:val="22"/>
                <w:szCs w:val="22"/>
              </w:rPr>
              <w:t>$25,465.60</w:t>
            </w:r>
          </w:p>
        </w:tc>
      </w:tr>
    </w:tbl>
    <w:p w14:paraId="000000FF">
      <w:pPr>
        <w:spacing w:before="240"/>
        <w:rPr/>
      </w:pPr>
    </w:p>
    <w:p w14:paraId="00000100">
      <w:pPr>
        <w:pStyle w:val="Heading3"/>
        <w:rPr/>
      </w:pPr>
      <w:r>
        <w:t>Appendix C: Top 6 Shipping Cities by Revenue</w:t>
      </w:r>
    </w:p>
    <w:tbl>
      <w:tblPr>
        <w:tblW w:w="6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Grid>
        <w:gridCol w:w="3000"/>
        <w:gridCol w:w="3000"/>
      </w:tblGrid>
      <w:tr>
        <w:trPr/>
        <w:tc>
          <w:tcPr>
            <w:cnfStyle w:val="100010000000"/>
            <w:tcW w:w="3000" w:type="dxa"/>
            <w:shd w:val="clear" w:color="2e74b5" w:fill="2e74b5"/>
          </w:tcPr>
          <w:p w14:paraId="00000101">
            <w:r>
              <w:rPr>
                <w:rFonts w:ascii="Calibri" w:cs="Calibri" w:eastAsia="Calibri" w:hAnsi="Calibri"/>
                <w:b/>
                <w:bCs/>
                <w:color w:val="ffffff"/>
                <w:sz w:val="22"/>
                <w:szCs w:val="22"/>
              </w:rPr>
              <w:t>City</w:t>
            </w:r>
          </w:p>
        </w:tc>
        <w:tc>
          <w:tcPr>
            <w:cnfStyle w:val="100001000000"/>
            <w:tcW w:w="3000" w:type="dxa"/>
            <w:shd w:val="clear" w:color="2e74b5" w:fill="2e74b5"/>
          </w:tcPr>
          <w:p w14:paraId="00000102">
            <w:r>
              <w:rPr>
                <w:rFonts w:ascii="Calibri" w:cs="Calibri" w:eastAsia="Calibri" w:hAnsi="Calibri"/>
                <w:b/>
                <w:bCs/>
                <w:color w:val="ffffff"/>
                <w:sz w:val="22"/>
                <w:szCs w:val="22"/>
              </w:rPr>
              <w:t>Total Revenue</w:t>
            </w:r>
          </w:p>
        </w:tc>
      </w:tr>
      <w:tr>
        <w:trPr/>
        <w:tc>
          <w:tcPr>
            <w:cnfStyle w:val="000010000000"/>
            <w:tcW w:w="3000" w:type="dxa"/>
            <w:shd w:val="clear" w:color="ffffff" w:fill="ffffff"/>
          </w:tcPr>
          <w:p w14:paraId="00000103">
            <w:r>
              <w:rPr>
                <w:rFonts w:ascii="Calibri" w:cs="Calibri" w:eastAsia="Calibri" w:hAnsi="Calibri"/>
                <w:sz w:val="22"/>
                <w:szCs w:val="22"/>
              </w:rPr>
              <w:t>New York</w:t>
            </w:r>
          </w:p>
        </w:tc>
        <w:tc>
          <w:tcPr>
            <w:cnfStyle w:val="000001000000"/>
            <w:tcW w:w="3000" w:type="dxa"/>
            <w:shd w:val="clear" w:color="ffffff" w:fill="ffffff"/>
          </w:tcPr>
          <w:p w14:paraId="00000104">
            <w:r>
              <w:rPr>
                <w:rFonts w:ascii="Calibri" w:cs="Calibri" w:eastAsia="Calibri" w:hAnsi="Calibri"/>
                <w:sz w:val="22"/>
                <w:szCs w:val="22"/>
              </w:rPr>
              <w:t>$67,180.50</w:t>
            </w:r>
          </w:p>
        </w:tc>
      </w:tr>
      <w:tr>
        <w:trPr/>
        <w:tc>
          <w:tcPr>
            <w:cnfStyle w:val="000010000000"/>
            <w:tcW w:w="3000" w:type="dxa"/>
            <w:shd w:val="clear" w:color="deeaf1" w:fill="deeaf1"/>
          </w:tcPr>
          <w:p w14:paraId="00000105">
            <w:r>
              <w:rPr>
                <w:rFonts w:ascii="Calibri" w:cs="Calibri" w:eastAsia="Calibri" w:hAnsi="Calibri"/>
                <w:sz w:val="22"/>
                <w:szCs w:val="22"/>
              </w:rPr>
              <w:t>Portland</w:t>
            </w:r>
          </w:p>
        </w:tc>
        <w:tc>
          <w:tcPr>
            <w:cnfStyle w:val="000001000000"/>
            <w:tcW w:w="3000" w:type="dxa"/>
            <w:shd w:val="clear" w:color="deeaf1" w:fill="deeaf1"/>
          </w:tcPr>
          <w:p w14:paraId="00000106">
            <w:r>
              <w:rPr>
                <w:rFonts w:ascii="Calibri" w:cs="Calibri" w:eastAsia="Calibri" w:hAnsi="Calibri"/>
                <w:sz w:val="22"/>
                <w:szCs w:val="22"/>
              </w:rPr>
              <w:t>$50,208.35</w:t>
            </w:r>
          </w:p>
        </w:tc>
      </w:tr>
      <w:tr>
        <w:trPr/>
        <w:tc>
          <w:tcPr>
            <w:cnfStyle w:val="000010000000"/>
            <w:tcW w:w="3000" w:type="dxa"/>
            <w:shd w:val="clear" w:color="ffffff" w:fill="ffffff"/>
          </w:tcPr>
          <w:p w14:paraId="00000107">
            <w:r>
              <w:rPr>
                <w:rFonts w:ascii="Calibri" w:cs="Calibri" w:eastAsia="Calibri" w:hAnsi="Calibri"/>
                <w:sz w:val="22"/>
                <w:szCs w:val="22"/>
              </w:rPr>
              <w:t>Miami</w:t>
            </w:r>
          </w:p>
        </w:tc>
        <w:tc>
          <w:tcPr>
            <w:cnfStyle w:val="000001000000"/>
            <w:tcW w:w="3000" w:type="dxa"/>
            <w:shd w:val="clear" w:color="ffffff" w:fill="ffffff"/>
          </w:tcPr>
          <w:p w14:paraId="00000108">
            <w:r>
              <w:rPr>
                <w:rFonts w:ascii="Calibri" w:cs="Calibri" w:eastAsia="Calibri" w:hAnsi="Calibri"/>
                <w:sz w:val="22"/>
                <w:szCs w:val="22"/>
              </w:rPr>
              <w:t>$50,145.33</w:t>
            </w:r>
          </w:p>
        </w:tc>
      </w:tr>
      <w:tr>
        <w:trPr/>
        <w:tc>
          <w:tcPr>
            <w:cnfStyle w:val="000010000000"/>
            <w:tcW w:w="3000" w:type="dxa"/>
            <w:shd w:val="clear" w:color="deeaf1" w:fill="deeaf1"/>
          </w:tcPr>
          <w:p w14:paraId="00000109">
            <w:r>
              <w:rPr>
                <w:rFonts w:ascii="Calibri" w:cs="Calibri" w:eastAsia="Calibri" w:hAnsi="Calibri"/>
                <w:sz w:val="22"/>
                <w:szCs w:val="22"/>
              </w:rPr>
              <w:t>Memphis</w:t>
            </w:r>
          </w:p>
        </w:tc>
        <w:tc>
          <w:tcPr>
            <w:cnfStyle w:val="000001000000"/>
            <w:tcW w:w="3000" w:type="dxa"/>
            <w:shd w:val="clear" w:color="deeaf1" w:fill="deeaf1"/>
          </w:tcPr>
          <w:p w14:paraId="0000010A">
            <w:r>
              <w:rPr>
                <w:rFonts w:ascii="Calibri" w:cs="Calibri" w:eastAsia="Calibri" w:hAnsi="Calibri"/>
                <w:sz w:val="22"/>
                <w:szCs w:val="22"/>
              </w:rPr>
              <w:t>$43,713.00</w:t>
            </w:r>
          </w:p>
        </w:tc>
      </w:tr>
      <w:tr>
        <w:trPr/>
        <w:tc>
          <w:tcPr>
            <w:cnfStyle w:val="000010000000"/>
            <w:tcW w:w="3000" w:type="dxa"/>
            <w:shd w:val="clear" w:color="ffffff" w:fill="ffffff"/>
          </w:tcPr>
          <w:p w14:paraId="0000010B">
            <w:r>
              <w:rPr>
                <w:rFonts w:ascii="Calibri" w:cs="Calibri" w:eastAsia="Calibri" w:hAnsi="Calibri"/>
                <w:sz w:val="22"/>
                <w:szCs w:val="22"/>
              </w:rPr>
              <w:t>Chicago</w:t>
            </w:r>
          </w:p>
        </w:tc>
        <w:tc>
          <w:tcPr>
            <w:cnfStyle w:val="000001000000"/>
            <w:tcW w:w="3000" w:type="dxa"/>
            <w:shd w:val="clear" w:color="ffffff" w:fill="ffffff"/>
          </w:tcPr>
          <w:p w14:paraId="0000010C">
            <w:r>
              <w:rPr>
                <w:rFonts w:ascii="Calibri" w:cs="Calibri" w:eastAsia="Calibri" w:hAnsi="Calibri"/>
                <w:sz w:val="22"/>
                <w:szCs w:val="22"/>
              </w:rPr>
              <w:t>$41,095.01</w:t>
            </w:r>
          </w:p>
        </w:tc>
      </w:tr>
      <w:tr>
        <w:trPr/>
        <w:tc>
          <w:tcPr>
            <w:cnfStyle w:val="000010000000"/>
            <w:tcW w:w="3000" w:type="dxa"/>
            <w:shd w:val="clear" w:color="deeaf1" w:fill="deeaf1"/>
          </w:tcPr>
          <w:p w14:paraId="0000010D">
            <w:r>
              <w:rPr>
                <w:rFonts w:ascii="Calibri" w:cs="Calibri" w:eastAsia="Calibri" w:hAnsi="Calibri"/>
                <w:sz w:val="22"/>
                <w:szCs w:val="22"/>
              </w:rPr>
              <w:t>Milwaukee</w:t>
            </w:r>
          </w:p>
        </w:tc>
        <w:tc>
          <w:tcPr>
            <w:cnfStyle w:val="000001000000"/>
            <w:tcW w:w="3000" w:type="dxa"/>
            <w:shd w:val="clear" w:color="deeaf1" w:fill="deeaf1"/>
          </w:tcPr>
          <w:p w14:paraId="0000010E">
            <w:r>
              <w:rPr>
                <w:rFonts w:ascii="Calibri" w:cs="Calibri" w:eastAsia="Calibri" w:hAnsi="Calibri"/>
                <w:sz w:val="22"/>
                <w:szCs w:val="22"/>
              </w:rPr>
              <w:t>$37,428.00</w:t>
            </w:r>
          </w:p>
        </w:tc>
      </w:tr>
    </w:tbl>
    <w:p w14:paraId="0000010F">
      <w:pPr>
        <w:spacing w:before="480"/>
        <w:rPr/>
      </w:pPr>
      <w:r>
        <w:rPr>
          <w:rFonts w:ascii="Calibri" w:cs="Calibri" w:eastAsia="Calibri" w:hAnsi="Calibri"/>
          <w:b/>
          <w:bCs/>
          <w:i/>
          <w:iCs/>
          <w:color w:val="595959"/>
          <w:sz w:val="24"/>
          <w:szCs w:val="24"/>
        </w:rPr>
        <w:t>End of Report</w:t>
      </w:r>
    </w:p>
    <w:sectPr>
      <w:pgSz w:w="12240" w:h="15840" w:orient="portrait"/>
      <w:pgMar w:top="1440" w:right="1440" w:bottom="1440" w:left="1440" w:header="708" w:footer="708" w:gutter="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endnote w:type="separator" w:id="0">
    <w:p w14:paraId="00000003">
      <w:pPr>
        <w:spacing w:after="0" w:line="240" w:lineRule="auto"/>
        <w:rPr/>
      </w:pPr>
      <w:r>
        <w:rPr>
          <w:rStyle w:val="Endnotereference"/>
        </w:rPr>
        <w:endnoteRef/>
      </w:r>
      <w:r>
        <w:rPr/>
        <w:separator/>
      </w:r>
    </w:p>
  </w:endnote>
  <w:endnote w:type="continuationSeparator" w:id="1">
    <w:p w14:paraId="00000004">
      <w:pPr>
        <w:spacing w:after="0" w:line="240" w:lineRule="auto"/>
        <w:rPr/>
      </w:pPr>
      <w:r>
        <w:rPr>
          <w:rStyle w:val="Endnotereference"/>
        </w:rPr>
        <w:endnoteRef/>
      </w:r>
      <w:r>
        <w:rP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dgm="http://schemas.openxmlformats.org/drawingml/2006/diagram">
  <w:footnote w:type="separator" w:id="0">
    <w:p w14:paraId="00000001">
      <w:pPr>
        <w:spacing w:after="0" w:line="240" w:lineRule="auto"/>
        <w:rPr/>
      </w:pPr>
      <w:r>
        <w:rPr>
          <w:rStyle w:val="Footnotereference"/>
        </w:rPr>
        <w:footnoteRef/>
      </w:r>
      <w:r>
        <w:rPr/>
        <w:separator/>
      </w:r>
    </w:p>
  </w:footnote>
  <w:footnote w:type="continuationSeparator" w:id="1">
    <w:p w14:paraId="00000002">
      <w:pPr>
        <w:spacing w:after="0" w:line="240" w:lineRule="auto"/>
        <w:rPr/>
      </w:pPr>
      <w:r>
        <w:rPr>
          <w:rStyle w:val="Footnotereference"/>
        </w:rPr>
        <w:footnoteRef/>
      </w:r>
      <w:r>
        <w:rPr/>
        <w:continuationSeparato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multiLevelType w:val="hybridMultilevel"/>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1">
    <w:multiLevelType w:val="hybridMultilevel"/>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name="compatibilityMode" w:uri="http://schemas.microsoft.com/office/word"/>
  </w:compat>
  <w:footnotePr>
    <w:footnote w:id="0"/>
    <w:footnote w:id="1"/>
  </w:footnotePr>
  <w:endnotePr>
    <w:endnote w:id="0"/>
    <w:endnote w:id="1"/>
  </w:endnotePr>
  <w:displayBackgroundShape w:val="on"/>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rFonts w:ascii="Calibri" w:cs="Calibri" w:eastAsia="Calibri" w:hAnsi="Calibri"/>
        <w:sz w:val="24"/>
        <w:szCs w:val="24"/>
      </w:rPr>
    </w:rPrDefault>
    <w:pPrDefault/>
  </w:docDefaults>
  <w:style w:type="paragraph" w:default="1" w:styleId="Normal">
    <w:name w:val="Normal"/>
    <w:uiPriority w:val="0"/>
    <w:qFormat w:val="on"/>
  </w:style>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2f5395"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472c4"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472c4"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472c4"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1f3763"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1f3763"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333f4f" w:themeColor="text2" w:themeShade="bf"/>
      <w:spacing w:val="5"/>
      <w:sz w:val="52"/>
      <w:szCs w:val="52"/>
    </w:rPr>
  </w:style>
  <w:style w:type="paragraph" w:styleId="Subtitle">
    <w:name w:val="Subtitle"/>
    <w:basedOn w:val="Normal"/>
    <w:next w:val="Normal"/>
    <w:link w:val="SubtitleChar"/>
    <w:uiPriority w:val="11"/>
    <w:qFormat w:val="on"/>
    <w:pPr/>
    <w:rPr>
      <w:rFonts w:asciiTheme="majorHAnsi" w:cstheme="majorBidi" w:eastAsiaTheme="majorEastAsia" w:hAnsiTheme="majorHAns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472c4"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472c4" w:themeColor="accent1"/>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472c4" w:themeColor="accent1" w:sz="4" w:space="4"/>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val="on"/>
    <w:rPr>
      <w:smallCaps/>
      <w:color w:val="ed7d31" w:themeColor="accent2"/>
      <w:u w:val="single"/>
    </w:rPr>
  </w:style>
  <w:style w:type="character" w:styleId="IntenseReference">
    <w:name w:val="Intense Reference"/>
    <w:basedOn w:val="DefaultParagraphFont"/>
    <w:uiPriority w:val="32"/>
    <w:qFormat w:val="on"/>
    <w:rPr>
      <w:b/>
      <w:bCs/>
      <w:smallCaps/>
      <w:color w:val="ed7d31" w:themeColor="accent2"/>
      <w:spacing w:val="5"/>
      <w:u w:val="single"/>
    </w:rPr>
  </w:style>
  <w:style w:type="character" w:styleId="BookTitle">
    <w:name w:val="Book Title"/>
    <w:basedOn w:val="DefaultParagraphFont"/>
    <w:uiPriority w:val="33"/>
    <w:qFormat w:val="on"/>
    <w:rPr>
      <w:b/>
      <w:bCs/>
      <w:smallCaps/>
      <w:spacing w:val="5"/>
    </w:rPr>
  </w:style>
  <w:style w:type="character" w:styleId="FollowedHyperlink">
    <w:name w:val="FollowedHyperlink"/>
    <w:basedOn w:val="DefaultParagraphFont"/>
    <w:uiPriority w:val="99"/>
    <w:semiHidden w:val="on"/>
    <w:unhideWhenUsed w:val="on"/>
    <w:rPr>
      <w:color w:val="954f72" w:themeColor="followed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44546a" w:themeColor="text2"/>
      <w:sz w:val="18"/>
      <w:szCs w:val="18"/>
    </w:rPr>
  </w:style>
  <w:style w:type="paragraph" w:styleId="Title">
    <w:name w:val="Title"/>
    <w:basedOn w:val="Normal"/>
    <w:next w:val="Normal"/>
    <w:uiPriority w:val="99"/>
    <w:qFormat w:val="on"/>
    <w:rPr>
      <w:sz w:val="56"/>
      <w:szCs w:val="56"/>
    </w:rPr>
  </w:style>
  <w:style w:type="paragraph" w:styleId="Heading4">
    <w:name w:val="Heading 4"/>
    <w:basedOn w:val="Normal"/>
    <w:next w:val="Normal"/>
    <w:uiPriority w:val="99"/>
    <w:qFormat w:val="on"/>
    <w:rPr>
      <w:i/>
      <w:iCs/>
      <w:color w:val="2e74b5"/>
    </w:rPr>
  </w:style>
  <w:style w:type="paragraph" w:styleId="Heading5">
    <w:name w:val="Heading 5"/>
    <w:basedOn w:val="Normal"/>
    <w:next w:val="Normal"/>
    <w:uiPriority w:val="99"/>
    <w:qFormat w:val="on"/>
    <w:rPr>
      <w:color w:val="2e74b5"/>
    </w:rPr>
  </w:style>
  <w:style w:type="paragraph" w:styleId="Heading6">
    <w:name w:val="Heading 6"/>
    <w:basedOn w:val="Normal"/>
    <w:next w:val="Normal"/>
    <w:uiPriority w:val="99"/>
    <w:qFormat w:val="on"/>
    <w:rPr>
      <w:color w:val="1f4d78"/>
    </w:rPr>
  </w:style>
  <w:style w:type="paragraph" w:styleId="Strong">
    <w:name w:val="Strong"/>
    <w:basedOn w:val="Normal"/>
    <w:next w:val="Normal"/>
    <w:uiPriority w:val="99"/>
    <w:qFormat w:val="on"/>
    <w:rPr>
      <w:b/>
      <w:bCs/>
    </w:rPr>
  </w:style>
  <w:style w:type="paragraph" w:styleId="ListParagraph">
    <w:name w:val="List Paragraph"/>
    <w:basedOn w:val="Normal"/>
    <w:uiPriority w:val="99"/>
    <w:qFormat w:val="on"/>
  </w:style>
  <w:style w:type="character" w:styleId="Hyperlink">
    <w:name w:val="Hyperlink"/>
    <w:basedOn w:val="DefaultParagraphFont"/>
    <w:uiPriority w:val="99"/>
    <w:unhideWhenUsed w:val="on"/>
    <w:rPr>
      <w:color w:val="0563c1"/>
      <w:u w:val="single"/>
    </w:rPr>
  </w:style>
  <w:style w:type="character" w:styleId="Footnotereference">
    <w:name w:val="Footnote reference"/>
    <w:basedOn w:val="DefaultParagraphFont"/>
    <w:uiPriority w:val="99"/>
    <w:semiHidden w:val="on"/>
    <w:unhideWhenUsed w:val="on"/>
    <w:rPr>
      <w:vertAlign w:val="superscript"/>
    </w:r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styleId="FootnoteTextChar">
    <w:name w:val="Footnote Text Char"/>
    <w:basedOn w:val="DefaultParagraphFont"/>
    <w:link w:val="Footnotetext"/>
    <w:uiPriority w:val="99"/>
    <w:semiHidden w:val="on"/>
    <w:unhideWhenUsed w:val="on"/>
    <w:rPr>
      <w:sz w:val="20"/>
      <w:szCs w:val="20"/>
    </w:rPr>
  </w:style>
  <w:style w:type="character" w:styleId="Endnotereference">
    <w:name w:val="End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styleId="EndnoteTextChar">
    <w:name w:val="Endnote Text Char"/>
    <w:basedOn w:val="DefaultParagraphFont"/>
    <w:link w:val="Endnotetext"/>
    <w:uiPriority w:val="99"/>
    <w:semiHidden w:val="on"/>
    <w:unhideWhenUsed w:val="on"/>
    <w:rPr>
      <w:sz w:val="20"/>
      <w:szCs w:val="20"/>
    </w:rPr>
  </w:style>
  <w:style w:type="paragraph" w:styleId="Heading1">
    <w:name w:val="Heading 1"/>
    <w:basedOn w:val="Normal"/>
    <w:next w:val="Normal"/>
    <w:uiPriority w:val="99"/>
    <w:pPr>
      <w:spacing w:before="240" w:after="120"/>
    </w:pPr>
    <w:rPr>
      <w:rFonts w:ascii="Calibri" w:cs="Calibri" w:eastAsia="Calibri" w:hAnsi="Calibri"/>
      <w:b/>
      <w:bCs/>
      <w:color w:val="1f3864"/>
      <w:sz w:val="32"/>
      <w:szCs w:val="32"/>
    </w:rPr>
  </w:style>
  <w:style w:type="paragraph" w:styleId="Heading2">
    <w:name w:val="Heading 2"/>
    <w:basedOn w:val="Normal"/>
    <w:next w:val="Normal"/>
    <w:uiPriority w:val="99"/>
    <w:pPr>
      <w:spacing w:before="200" w:after="80"/>
    </w:pPr>
    <w:rPr>
      <w:rFonts w:ascii="Calibri" w:cs="Calibri" w:eastAsia="Calibri" w:hAnsi="Calibri"/>
      <w:b/>
      <w:bCs/>
      <w:color w:val="2e74b5"/>
      <w:sz w:val="28"/>
      <w:szCs w:val="28"/>
    </w:rPr>
  </w:style>
  <w:style w:type="paragraph" w:styleId="Heading3">
    <w:name w:val="Heading 3"/>
    <w:basedOn w:val="Normal"/>
    <w:next w:val="Normal"/>
    <w:uiPriority w:val="99"/>
    <w:pPr>
      <w:spacing w:before="160" w:after="60"/>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s>
</file>

<file path=word/_rels/endnotes.xml.rels><?xml version="1.0" encoding="UTF-8" standalone="yes"?>
<Relationships xmlns="http://schemas.openxmlformats.org/package/2006/relationships"></Relationships>
</file>

<file path=word/_rels/fontTable.xml.rels><?xml version="1.0" encoding="UTF-8"?><Relationships xmlns="http://schemas.openxmlformats.org/package/2006/relationships"/>
</file>

<file path=word/_rels/footnotes.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Default">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George nzubechi</cp:lastModifiedBy>
</cp:coreProperties>
</file>

<file path=docProps/custom.xml><?xml version="1.0" encoding="utf-8"?>
<Properties xmlns="http://schemas.openxmlformats.org/officeDocument/2006/custom-properties" xmlns:vt="http://schemas.openxmlformats.org/officeDocument/2006/docPropsVTypes"/>
</file>