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9F838" w14:textId="1E46A568" w:rsidR="00FA1949" w:rsidRPr="00C6783F" w:rsidRDefault="008B5352">
      <w:pPr>
        <w:rPr>
          <w:rFonts w:ascii="Arial" w:hAnsi="Arial" w:cs="Arial"/>
        </w:rPr>
      </w:pPr>
      <w:r w:rsidRPr="00C6783F">
        <w:rPr>
          <w:rFonts w:ascii="Arial" w:hAnsi="Arial" w:cs="Arial"/>
        </w:rPr>
        <w:t>Summary of Method Validation SOP:</w:t>
      </w:r>
    </w:p>
    <w:p w14:paraId="54DB0C39" w14:textId="79DDABF5" w:rsidR="008B5352" w:rsidRPr="00C6783F" w:rsidRDefault="008B5352">
      <w:pPr>
        <w:rPr>
          <w:rFonts w:ascii="Arial" w:hAnsi="Arial" w:cs="Arial"/>
        </w:rPr>
      </w:pPr>
      <w:r w:rsidRPr="00C6783F">
        <w:rPr>
          <w:rFonts w:ascii="Arial" w:hAnsi="Arial" w:cs="Arial"/>
        </w:rPr>
        <w:t xml:space="preserve">The objective of analytical method validation nis to demonstrate that an analytical method is suitable for its intended use. </w:t>
      </w:r>
    </w:p>
    <w:p w14:paraId="4FC88152" w14:textId="0767282A" w:rsidR="00246458" w:rsidRPr="00C6783F" w:rsidRDefault="00246458">
      <w:pPr>
        <w:rPr>
          <w:rFonts w:ascii="Arial" w:hAnsi="Arial" w:cs="Arial"/>
        </w:rPr>
      </w:pPr>
      <w:r w:rsidRPr="00C6783F">
        <w:rPr>
          <w:rFonts w:ascii="Arial" w:hAnsi="Arial" w:cs="Arial"/>
        </w:rPr>
        <w:t xml:space="preserve">Typical analytical types: </w:t>
      </w:r>
    </w:p>
    <w:p w14:paraId="14270203" w14:textId="5798A896" w:rsidR="00246458" w:rsidRPr="00C6783F" w:rsidRDefault="00246458" w:rsidP="00246458">
      <w:pPr>
        <w:pStyle w:val="ListParagraph"/>
        <w:numPr>
          <w:ilvl w:val="0"/>
          <w:numId w:val="3"/>
        </w:numPr>
        <w:rPr>
          <w:rFonts w:ascii="Arial" w:hAnsi="Arial" w:cs="Arial"/>
        </w:rPr>
      </w:pPr>
      <w:r w:rsidRPr="00C6783F">
        <w:rPr>
          <w:rFonts w:ascii="Arial" w:hAnsi="Arial" w:cs="Arial"/>
        </w:rPr>
        <w:t>Assay</w:t>
      </w:r>
    </w:p>
    <w:p w14:paraId="3D67E78E" w14:textId="62812EB6" w:rsidR="00246458" w:rsidRPr="00C6783F" w:rsidRDefault="00246458" w:rsidP="00246458">
      <w:pPr>
        <w:pStyle w:val="ListParagraph"/>
        <w:numPr>
          <w:ilvl w:val="0"/>
          <w:numId w:val="3"/>
        </w:numPr>
        <w:rPr>
          <w:rFonts w:ascii="Arial" w:hAnsi="Arial" w:cs="Arial"/>
        </w:rPr>
      </w:pPr>
      <w:r w:rsidRPr="00C6783F">
        <w:rPr>
          <w:rFonts w:ascii="Arial" w:hAnsi="Arial" w:cs="Arial"/>
        </w:rPr>
        <w:t>Dissolution</w:t>
      </w:r>
    </w:p>
    <w:p w14:paraId="7593EBBE" w14:textId="5A9F1216" w:rsidR="00246458" w:rsidRPr="00C6783F" w:rsidRDefault="00246458" w:rsidP="00246458">
      <w:pPr>
        <w:pStyle w:val="ListParagraph"/>
        <w:numPr>
          <w:ilvl w:val="0"/>
          <w:numId w:val="3"/>
        </w:numPr>
        <w:rPr>
          <w:rFonts w:ascii="Arial" w:hAnsi="Arial" w:cs="Arial"/>
        </w:rPr>
      </w:pPr>
      <w:r w:rsidRPr="00C6783F">
        <w:rPr>
          <w:rFonts w:ascii="Arial" w:hAnsi="Arial" w:cs="Arial"/>
        </w:rPr>
        <w:t>Related Substances/Impurities</w:t>
      </w:r>
    </w:p>
    <w:p w14:paraId="5ADF8E3D" w14:textId="01165D43" w:rsidR="00246458" w:rsidRPr="00C6783F" w:rsidRDefault="00246458" w:rsidP="00246458">
      <w:pPr>
        <w:pStyle w:val="ListParagraph"/>
        <w:numPr>
          <w:ilvl w:val="0"/>
          <w:numId w:val="3"/>
        </w:numPr>
        <w:rPr>
          <w:rFonts w:ascii="Arial" w:hAnsi="Arial" w:cs="Arial"/>
        </w:rPr>
      </w:pPr>
      <w:r w:rsidRPr="00C6783F">
        <w:rPr>
          <w:rFonts w:ascii="Arial" w:hAnsi="Arial" w:cs="Arial"/>
        </w:rPr>
        <w:t>Residual Solvents</w:t>
      </w:r>
    </w:p>
    <w:p w14:paraId="311A5C6D" w14:textId="23D8AC60" w:rsidR="00246458" w:rsidRPr="00C6783F" w:rsidRDefault="00246458" w:rsidP="00246458">
      <w:pPr>
        <w:pStyle w:val="ListParagraph"/>
        <w:numPr>
          <w:ilvl w:val="0"/>
          <w:numId w:val="3"/>
        </w:numPr>
        <w:rPr>
          <w:rFonts w:ascii="Arial" w:hAnsi="Arial" w:cs="Arial"/>
        </w:rPr>
      </w:pPr>
      <w:r w:rsidRPr="00C6783F">
        <w:rPr>
          <w:rFonts w:ascii="Arial" w:hAnsi="Arial" w:cs="Arial"/>
        </w:rPr>
        <w:t xml:space="preserve">Cleaning Validation </w:t>
      </w:r>
    </w:p>
    <w:tbl>
      <w:tblPr>
        <w:tblStyle w:val="TableGrid"/>
        <w:tblW w:w="0" w:type="auto"/>
        <w:tblLook w:val="04A0" w:firstRow="1" w:lastRow="0" w:firstColumn="1" w:lastColumn="0" w:noHBand="0" w:noVBand="1"/>
      </w:tblPr>
      <w:tblGrid>
        <w:gridCol w:w="3280"/>
        <w:gridCol w:w="6070"/>
      </w:tblGrid>
      <w:tr w:rsidR="008B5352" w:rsidRPr="00C6783F" w14:paraId="706FB59D" w14:textId="77777777" w:rsidTr="008B5352">
        <w:trPr>
          <w:trHeight w:val="1871"/>
        </w:trPr>
        <w:tc>
          <w:tcPr>
            <w:tcW w:w="3348" w:type="dxa"/>
          </w:tcPr>
          <w:p w14:paraId="0331E4FD" w14:textId="2F53E440" w:rsidR="008B5352" w:rsidRPr="00C6783F" w:rsidRDefault="008B5352">
            <w:pPr>
              <w:rPr>
                <w:rFonts w:ascii="Arial" w:hAnsi="Arial" w:cs="Arial"/>
              </w:rPr>
            </w:pPr>
            <w:r w:rsidRPr="00C6783F">
              <w:rPr>
                <w:rFonts w:ascii="Arial" w:hAnsi="Arial" w:cs="Arial"/>
              </w:rPr>
              <w:t>For Drug Substances</w:t>
            </w:r>
          </w:p>
        </w:tc>
        <w:tc>
          <w:tcPr>
            <w:tcW w:w="6228" w:type="dxa"/>
          </w:tcPr>
          <w:p w14:paraId="7DE4041C" w14:textId="565C8FBD" w:rsidR="008B5352" w:rsidRPr="00C6783F" w:rsidRDefault="008B5352">
            <w:pPr>
              <w:rPr>
                <w:rFonts w:ascii="Arial" w:hAnsi="Arial" w:cs="Arial"/>
              </w:rPr>
            </w:pPr>
            <w:r w:rsidRPr="00C6783F">
              <w:rPr>
                <w:rFonts w:ascii="Arial" w:hAnsi="Arial" w:cs="Arial"/>
              </w:rPr>
              <w:t xml:space="preserve">Compendial methods (USP, BP, EP, JP) suitability of use under actual conditions need to be verified. </w:t>
            </w:r>
          </w:p>
          <w:p w14:paraId="26AADAAE" w14:textId="77777777" w:rsidR="008B5352" w:rsidRPr="00C6783F" w:rsidRDefault="008B5352">
            <w:pPr>
              <w:rPr>
                <w:rFonts w:ascii="Arial" w:hAnsi="Arial" w:cs="Arial"/>
              </w:rPr>
            </w:pPr>
          </w:p>
          <w:p w14:paraId="5F959FA6" w14:textId="6A24369C" w:rsidR="008B5352" w:rsidRPr="00C6783F" w:rsidRDefault="008B5352">
            <w:pPr>
              <w:rPr>
                <w:rFonts w:ascii="Arial" w:hAnsi="Arial" w:cs="Arial"/>
              </w:rPr>
            </w:pPr>
            <w:r w:rsidRPr="00C6783F">
              <w:rPr>
                <w:rFonts w:ascii="Arial" w:hAnsi="Arial" w:cs="Arial"/>
              </w:rPr>
              <w:t xml:space="preserve">Non-compendial (manufacturer, client-provided, etc.) the method validation data must be received and determined to be suitable for intended use at which point, additional method validation studies may be needed and suitability use under actual conditions need to be verified. </w:t>
            </w:r>
          </w:p>
          <w:p w14:paraId="3A30E634" w14:textId="77777777" w:rsidR="008B5352" w:rsidRPr="00C6783F" w:rsidRDefault="008B5352">
            <w:pPr>
              <w:rPr>
                <w:rFonts w:ascii="Arial" w:hAnsi="Arial" w:cs="Arial"/>
              </w:rPr>
            </w:pPr>
          </w:p>
          <w:p w14:paraId="640B1A6F" w14:textId="2786DB36" w:rsidR="008B5352" w:rsidRPr="00C6783F" w:rsidRDefault="008B5352">
            <w:pPr>
              <w:rPr>
                <w:rFonts w:ascii="Arial" w:hAnsi="Arial" w:cs="Arial"/>
              </w:rPr>
            </w:pPr>
            <w:r w:rsidRPr="00C6783F">
              <w:rPr>
                <w:rFonts w:ascii="Arial" w:hAnsi="Arial" w:cs="Arial"/>
              </w:rPr>
              <w:t xml:space="preserve">Refer to Table 1 and 2. </w:t>
            </w:r>
          </w:p>
          <w:p w14:paraId="2C2A5E48" w14:textId="2BFBE90E" w:rsidR="008B5352" w:rsidRPr="00C6783F" w:rsidRDefault="008B5352">
            <w:pPr>
              <w:rPr>
                <w:rFonts w:ascii="Arial" w:hAnsi="Arial" w:cs="Arial"/>
              </w:rPr>
            </w:pPr>
          </w:p>
        </w:tc>
      </w:tr>
    </w:tbl>
    <w:p w14:paraId="4781AD9F" w14:textId="6A79D42A" w:rsidR="008B5352" w:rsidRPr="00C6783F" w:rsidRDefault="008B5352">
      <w:pPr>
        <w:rPr>
          <w:rFonts w:ascii="Arial" w:hAnsi="Arial" w:cs="Arial"/>
        </w:rPr>
      </w:pPr>
    </w:p>
    <w:p w14:paraId="2A420FF0" w14:textId="75A59D51" w:rsidR="008B5352" w:rsidRPr="00C6783F" w:rsidRDefault="008B5352">
      <w:pPr>
        <w:rPr>
          <w:rFonts w:ascii="Arial" w:hAnsi="Arial" w:cs="Arial"/>
        </w:rPr>
      </w:pPr>
      <w:r w:rsidRPr="00C6783F">
        <w:rPr>
          <w:rFonts w:ascii="Arial" w:hAnsi="Arial" w:cs="Arial"/>
          <w:noProof/>
        </w:rPr>
        <w:drawing>
          <wp:inline distT="0" distB="0" distL="0" distR="0" wp14:anchorId="6D91353E" wp14:editId="24BAF921">
            <wp:extent cx="5943600" cy="2807335"/>
            <wp:effectExtent l="0" t="0" r="0" b="0"/>
            <wp:docPr id="858986478"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86478" name="Picture 1" descr="A close-up of a document&#10;&#10;Description automatically generated"/>
                    <pic:cNvPicPr/>
                  </pic:nvPicPr>
                  <pic:blipFill>
                    <a:blip r:embed="rId5"/>
                    <a:stretch>
                      <a:fillRect/>
                    </a:stretch>
                  </pic:blipFill>
                  <pic:spPr>
                    <a:xfrm>
                      <a:off x="0" y="0"/>
                      <a:ext cx="5943600" cy="2807335"/>
                    </a:xfrm>
                    <a:prstGeom prst="rect">
                      <a:avLst/>
                    </a:prstGeom>
                  </pic:spPr>
                </pic:pic>
              </a:graphicData>
            </a:graphic>
          </wp:inline>
        </w:drawing>
      </w:r>
    </w:p>
    <w:p w14:paraId="3A59CE5B" w14:textId="527D1BCA" w:rsidR="008B5352" w:rsidRPr="00C6783F" w:rsidRDefault="008B5352">
      <w:pPr>
        <w:rPr>
          <w:rFonts w:ascii="Arial" w:hAnsi="Arial" w:cs="Arial"/>
        </w:rPr>
      </w:pPr>
      <w:r w:rsidRPr="00C6783F">
        <w:rPr>
          <w:rFonts w:ascii="Arial" w:hAnsi="Arial" w:cs="Arial"/>
          <w:noProof/>
        </w:rPr>
        <w:lastRenderedPageBreak/>
        <w:drawing>
          <wp:inline distT="0" distB="0" distL="0" distR="0" wp14:anchorId="5699C727" wp14:editId="3376BC43">
            <wp:extent cx="5943600" cy="2226945"/>
            <wp:effectExtent l="0" t="0" r="0" b="0"/>
            <wp:docPr id="986324433" name="Picture 1" descr="A table of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24433" name="Picture 1" descr="A table of test results&#10;&#10;Description automatically generated"/>
                    <pic:cNvPicPr/>
                  </pic:nvPicPr>
                  <pic:blipFill>
                    <a:blip r:embed="rId6"/>
                    <a:stretch>
                      <a:fillRect/>
                    </a:stretch>
                  </pic:blipFill>
                  <pic:spPr>
                    <a:xfrm>
                      <a:off x="0" y="0"/>
                      <a:ext cx="5943600" cy="2226945"/>
                    </a:xfrm>
                    <a:prstGeom prst="rect">
                      <a:avLst/>
                    </a:prstGeom>
                  </pic:spPr>
                </pic:pic>
              </a:graphicData>
            </a:graphic>
          </wp:inline>
        </w:drawing>
      </w:r>
    </w:p>
    <w:tbl>
      <w:tblPr>
        <w:tblStyle w:val="TableGrid"/>
        <w:tblW w:w="0" w:type="auto"/>
        <w:tblLook w:val="04A0" w:firstRow="1" w:lastRow="0" w:firstColumn="1" w:lastColumn="0" w:noHBand="0" w:noVBand="1"/>
      </w:tblPr>
      <w:tblGrid>
        <w:gridCol w:w="3273"/>
        <w:gridCol w:w="6077"/>
      </w:tblGrid>
      <w:tr w:rsidR="008B5352" w:rsidRPr="00C6783F" w14:paraId="3B27457F" w14:textId="77777777" w:rsidTr="00695B8F">
        <w:trPr>
          <w:trHeight w:val="1871"/>
        </w:trPr>
        <w:tc>
          <w:tcPr>
            <w:tcW w:w="3348" w:type="dxa"/>
          </w:tcPr>
          <w:p w14:paraId="750EEBEB" w14:textId="298AE16C" w:rsidR="008B5352" w:rsidRPr="00C6783F" w:rsidRDefault="008B5352" w:rsidP="00695B8F">
            <w:pPr>
              <w:rPr>
                <w:rFonts w:ascii="Arial" w:hAnsi="Arial" w:cs="Arial"/>
              </w:rPr>
            </w:pPr>
            <w:r w:rsidRPr="00C6783F">
              <w:rPr>
                <w:rFonts w:ascii="Arial" w:hAnsi="Arial" w:cs="Arial"/>
              </w:rPr>
              <w:t xml:space="preserve">For Drug </w:t>
            </w:r>
            <w:r w:rsidRPr="00C6783F">
              <w:rPr>
                <w:rFonts w:ascii="Arial" w:hAnsi="Arial" w:cs="Arial"/>
              </w:rPr>
              <w:t>Products</w:t>
            </w:r>
          </w:p>
        </w:tc>
        <w:tc>
          <w:tcPr>
            <w:tcW w:w="6228" w:type="dxa"/>
          </w:tcPr>
          <w:p w14:paraId="587D8231" w14:textId="67FC3224" w:rsidR="008B5352" w:rsidRPr="00C6783F" w:rsidRDefault="008B5352" w:rsidP="00695B8F">
            <w:pPr>
              <w:rPr>
                <w:rFonts w:ascii="Arial" w:hAnsi="Arial" w:cs="Arial"/>
              </w:rPr>
            </w:pPr>
            <w:r w:rsidRPr="00C6783F">
              <w:rPr>
                <w:rFonts w:ascii="Arial" w:hAnsi="Arial" w:cs="Arial"/>
              </w:rPr>
              <w:t xml:space="preserve">Compendial methods (USP, BP, EP, JP) </w:t>
            </w:r>
            <w:r w:rsidRPr="00C6783F">
              <w:rPr>
                <w:rFonts w:ascii="Arial" w:hAnsi="Arial" w:cs="Arial"/>
              </w:rPr>
              <w:t xml:space="preserve">all validation studies should be performed with the exception of linearity. </w:t>
            </w:r>
            <w:r w:rsidRPr="00C6783F">
              <w:rPr>
                <w:rFonts w:ascii="Arial" w:hAnsi="Arial" w:cs="Arial"/>
              </w:rPr>
              <w:t xml:space="preserve"> </w:t>
            </w:r>
          </w:p>
          <w:p w14:paraId="61F87A53" w14:textId="77777777" w:rsidR="008B5352" w:rsidRPr="00C6783F" w:rsidRDefault="008B5352" w:rsidP="00695B8F">
            <w:pPr>
              <w:rPr>
                <w:rFonts w:ascii="Arial" w:hAnsi="Arial" w:cs="Arial"/>
              </w:rPr>
            </w:pPr>
          </w:p>
          <w:p w14:paraId="1479AAE8" w14:textId="77777777" w:rsidR="008B5352" w:rsidRPr="00C6783F" w:rsidRDefault="008B5352" w:rsidP="00695B8F">
            <w:pPr>
              <w:rPr>
                <w:rFonts w:ascii="Arial" w:hAnsi="Arial" w:cs="Arial"/>
              </w:rPr>
            </w:pPr>
            <w:r w:rsidRPr="00C6783F">
              <w:rPr>
                <w:rFonts w:ascii="Arial" w:hAnsi="Arial" w:cs="Arial"/>
              </w:rPr>
              <w:t xml:space="preserve">Non-compendial (manufacturer, client-provided, etc.) the method validation data must be received and determined to be suitable for intended use at which point, additional method validation studies may be needed and suitability use under actual conditions need to be verified. </w:t>
            </w:r>
          </w:p>
          <w:p w14:paraId="1A9E3736" w14:textId="77777777" w:rsidR="008B5352" w:rsidRPr="00C6783F" w:rsidRDefault="008B5352" w:rsidP="00695B8F">
            <w:pPr>
              <w:rPr>
                <w:rFonts w:ascii="Arial" w:hAnsi="Arial" w:cs="Arial"/>
              </w:rPr>
            </w:pPr>
          </w:p>
          <w:p w14:paraId="42B8DD8C" w14:textId="5E35A466" w:rsidR="008B5352" w:rsidRPr="00C6783F" w:rsidRDefault="008B5352" w:rsidP="00695B8F">
            <w:pPr>
              <w:rPr>
                <w:rFonts w:ascii="Arial" w:hAnsi="Arial" w:cs="Arial"/>
              </w:rPr>
            </w:pPr>
            <w:r w:rsidRPr="00C6783F">
              <w:rPr>
                <w:rFonts w:ascii="Arial" w:hAnsi="Arial" w:cs="Arial"/>
              </w:rPr>
              <w:t>Refer to Table</w:t>
            </w:r>
            <w:r w:rsidR="00BE5717" w:rsidRPr="00C6783F">
              <w:rPr>
                <w:rFonts w:ascii="Arial" w:hAnsi="Arial" w:cs="Arial"/>
              </w:rPr>
              <w:t xml:space="preserve"> 4</w:t>
            </w:r>
            <w:r w:rsidRPr="00C6783F">
              <w:rPr>
                <w:rFonts w:ascii="Arial" w:hAnsi="Arial" w:cs="Arial"/>
              </w:rPr>
              <w:t xml:space="preserve"> and</w:t>
            </w:r>
            <w:r w:rsidR="00BE5717" w:rsidRPr="00C6783F">
              <w:rPr>
                <w:rFonts w:ascii="Arial" w:hAnsi="Arial" w:cs="Arial"/>
              </w:rPr>
              <w:t xml:space="preserve"> 5</w:t>
            </w:r>
            <w:r w:rsidRPr="00C6783F">
              <w:rPr>
                <w:rFonts w:ascii="Arial" w:hAnsi="Arial" w:cs="Arial"/>
              </w:rPr>
              <w:t xml:space="preserve">. </w:t>
            </w:r>
          </w:p>
          <w:p w14:paraId="49180FE9" w14:textId="77777777" w:rsidR="008B5352" w:rsidRPr="00C6783F" w:rsidRDefault="008B5352" w:rsidP="00695B8F">
            <w:pPr>
              <w:rPr>
                <w:rFonts w:ascii="Arial" w:hAnsi="Arial" w:cs="Arial"/>
              </w:rPr>
            </w:pPr>
          </w:p>
        </w:tc>
      </w:tr>
    </w:tbl>
    <w:p w14:paraId="57BA4EBD" w14:textId="77777777" w:rsidR="00BE5717" w:rsidRPr="00C6783F" w:rsidRDefault="008B5352">
      <w:pPr>
        <w:rPr>
          <w:rFonts w:ascii="Arial" w:hAnsi="Arial" w:cs="Arial"/>
        </w:rPr>
      </w:pPr>
      <w:r w:rsidRPr="00C6783F">
        <w:rPr>
          <w:rFonts w:ascii="Arial" w:hAnsi="Arial" w:cs="Arial"/>
          <w:noProof/>
        </w:rPr>
        <w:drawing>
          <wp:inline distT="0" distB="0" distL="0" distR="0" wp14:anchorId="0E9A9AFF" wp14:editId="546657BF">
            <wp:extent cx="5461698" cy="3164619"/>
            <wp:effectExtent l="0" t="0" r="0" b="0"/>
            <wp:docPr id="1404693842" name="Picture 1" descr="A documen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93842" name="Picture 1" descr="A document with black text&#10;&#10;Description automatically generated with medium confidence"/>
                    <pic:cNvPicPr/>
                  </pic:nvPicPr>
                  <pic:blipFill rotWithShape="1">
                    <a:blip r:embed="rId7"/>
                    <a:srcRect b="3016"/>
                    <a:stretch/>
                  </pic:blipFill>
                  <pic:spPr bwMode="auto">
                    <a:xfrm>
                      <a:off x="0" y="0"/>
                      <a:ext cx="5482913" cy="3176912"/>
                    </a:xfrm>
                    <a:prstGeom prst="rect">
                      <a:avLst/>
                    </a:prstGeom>
                    <a:ln>
                      <a:noFill/>
                    </a:ln>
                    <a:extLst>
                      <a:ext uri="{53640926-AAD7-44D8-BBD7-CCE9431645EC}">
                        <a14:shadowObscured xmlns:a14="http://schemas.microsoft.com/office/drawing/2010/main"/>
                      </a:ext>
                    </a:extLst>
                  </pic:spPr>
                </pic:pic>
              </a:graphicData>
            </a:graphic>
          </wp:inline>
        </w:drawing>
      </w:r>
    </w:p>
    <w:p w14:paraId="4A5F24AC" w14:textId="023C2093" w:rsidR="008B5352" w:rsidRPr="00C6783F" w:rsidRDefault="00BE5717">
      <w:pPr>
        <w:rPr>
          <w:rFonts w:ascii="Arial" w:hAnsi="Arial" w:cs="Arial"/>
        </w:rPr>
      </w:pPr>
      <w:r w:rsidRPr="00C6783F">
        <w:rPr>
          <w:rFonts w:ascii="Arial" w:hAnsi="Arial" w:cs="Arial"/>
          <w:noProof/>
        </w:rPr>
        <w:lastRenderedPageBreak/>
        <w:drawing>
          <wp:inline distT="0" distB="0" distL="0" distR="0" wp14:anchorId="60B246B9" wp14:editId="7AD786E8">
            <wp:extent cx="5271715" cy="3010960"/>
            <wp:effectExtent l="0" t="0" r="0" b="0"/>
            <wp:docPr id="1754869645"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69645" name="Picture 1" descr="A table with text and numbers&#10;&#10;Description automatically generated"/>
                    <pic:cNvPicPr/>
                  </pic:nvPicPr>
                  <pic:blipFill>
                    <a:blip r:embed="rId8"/>
                    <a:stretch>
                      <a:fillRect/>
                    </a:stretch>
                  </pic:blipFill>
                  <pic:spPr>
                    <a:xfrm>
                      <a:off x="0" y="0"/>
                      <a:ext cx="5308973" cy="3032240"/>
                    </a:xfrm>
                    <a:prstGeom prst="rect">
                      <a:avLst/>
                    </a:prstGeom>
                  </pic:spPr>
                </pic:pic>
              </a:graphicData>
            </a:graphic>
          </wp:inline>
        </w:drawing>
      </w:r>
    </w:p>
    <w:p w14:paraId="386EBC70" w14:textId="35D3D769" w:rsidR="00BE5717" w:rsidRPr="00C6783F" w:rsidRDefault="00BE5717">
      <w:pPr>
        <w:rPr>
          <w:rFonts w:ascii="Arial" w:hAnsi="Arial" w:cs="Arial"/>
        </w:rPr>
      </w:pPr>
      <w:r w:rsidRPr="00C6783F">
        <w:rPr>
          <w:rFonts w:ascii="Arial" w:hAnsi="Arial" w:cs="Arial"/>
        </w:rPr>
        <w:t>Specific method validation tests based on HPLC, UPLC, GC:</w:t>
      </w:r>
    </w:p>
    <w:p w14:paraId="11FD5BC1" w14:textId="07ED59F0" w:rsidR="00BE5717" w:rsidRPr="00C6783F" w:rsidRDefault="00BE5717">
      <w:pPr>
        <w:rPr>
          <w:rFonts w:ascii="Arial" w:hAnsi="Arial" w:cs="Arial"/>
        </w:rPr>
      </w:pPr>
      <w:r w:rsidRPr="00C6783F">
        <w:rPr>
          <w:rFonts w:ascii="Arial" w:hAnsi="Arial" w:cs="Arial"/>
        </w:rPr>
        <w:t xml:space="preserve">Validation tests should typically be assessed upon the system suitability criteria being established in order to assess validity of the test. </w:t>
      </w:r>
    </w:p>
    <w:tbl>
      <w:tblPr>
        <w:tblStyle w:val="TableGrid"/>
        <w:tblW w:w="0" w:type="auto"/>
        <w:tblLayout w:type="fixed"/>
        <w:tblLook w:val="04A0" w:firstRow="1" w:lastRow="0" w:firstColumn="1" w:lastColumn="0" w:noHBand="0" w:noVBand="1"/>
      </w:tblPr>
      <w:tblGrid>
        <w:gridCol w:w="1728"/>
        <w:gridCol w:w="7848"/>
      </w:tblGrid>
      <w:tr w:rsidR="00C6783F" w:rsidRPr="00C6783F" w14:paraId="21AFA6AE" w14:textId="77777777" w:rsidTr="00C6783F">
        <w:trPr>
          <w:tblHeader/>
        </w:trPr>
        <w:tc>
          <w:tcPr>
            <w:tcW w:w="1728" w:type="dxa"/>
            <w:shd w:val="clear" w:color="auto" w:fill="BFBFBF" w:themeFill="background1" w:themeFillShade="BF"/>
          </w:tcPr>
          <w:p w14:paraId="64A959C0" w14:textId="139576E2" w:rsidR="00BE5717" w:rsidRPr="00C6783F" w:rsidRDefault="00BE5717">
            <w:pPr>
              <w:rPr>
                <w:rFonts w:ascii="Arial" w:hAnsi="Arial" w:cs="Arial"/>
              </w:rPr>
            </w:pPr>
            <w:r w:rsidRPr="00C6783F">
              <w:rPr>
                <w:rFonts w:ascii="Arial" w:hAnsi="Arial" w:cs="Arial"/>
              </w:rPr>
              <w:t>Validation Test</w:t>
            </w:r>
          </w:p>
        </w:tc>
        <w:tc>
          <w:tcPr>
            <w:tcW w:w="7848" w:type="dxa"/>
            <w:shd w:val="clear" w:color="auto" w:fill="BFBFBF" w:themeFill="background1" w:themeFillShade="BF"/>
          </w:tcPr>
          <w:p w14:paraId="4FE51050" w14:textId="1014271D" w:rsidR="00BE5717" w:rsidRPr="00C6783F" w:rsidRDefault="00BE5717">
            <w:pPr>
              <w:rPr>
                <w:rFonts w:ascii="Arial" w:hAnsi="Arial" w:cs="Arial"/>
              </w:rPr>
            </w:pPr>
            <w:r w:rsidRPr="00C6783F">
              <w:rPr>
                <w:rFonts w:ascii="Arial" w:hAnsi="Arial" w:cs="Arial"/>
              </w:rPr>
              <w:t>Acceptance Criteria</w:t>
            </w:r>
          </w:p>
        </w:tc>
      </w:tr>
      <w:tr w:rsidR="00C6783F" w:rsidRPr="00C6783F" w14:paraId="13800582" w14:textId="77777777" w:rsidTr="00C6783F">
        <w:tc>
          <w:tcPr>
            <w:tcW w:w="1728" w:type="dxa"/>
          </w:tcPr>
          <w:p w14:paraId="6A9A1DFA" w14:textId="141426F5" w:rsidR="00BE5717" w:rsidRPr="00C6783F" w:rsidRDefault="00BE5717" w:rsidP="00BE5717">
            <w:pPr>
              <w:rPr>
                <w:rFonts w:ascii="Arial" w:hAnsi="Arial" w:cs="Arial"/>
              </w:rPr>
            </w:pPr>
            <w:r w:rsidRPr="00C6783F">
              <w:rPr>
                <w:rFonts w:ascii="Arial" w:hAnsi="Arial" w:cs="Arial"/>
              </w:rPr>
              <w:t>System Suitability</w:t>
            </w:r>
          </w:p>
        </w:tc>
        <w:tc>
          <w:tcPr>
            <w:tcW w:w="7848" w:type="dxa"/>
          </w:tcPr>
          <w:p w14:paraId="357CE593" w14:textId="3D7698C5" w:rsidR="00BE5717" w:rsidRPr="00C6783F" w:rsidRDefault="00BE5717" w:rsidP="00BE5717">
            <w:pPr>
              <w:rPr>
                <w:rFonts w:ascii="Arial" w:hAnsi="Arial" w:cs="Arial"/>
              </w:rPr>
            </w:pPr>
            <w:r w:rsidRPr="00C6783F">
              <w:rPr>
                <w:rFonts w:ascii="Arial" w:hAnsi="Arial" w:cs="Arial"/>
              </w:rPr>
              <w:t xml:space="preserve">Meets system suitability requirement set forth by individual analytical procedure. </w:t>
            </w:r>
          </w:p>
        </w:tc>
      </w:tr>
      <w:tr w:rsidR="00C6783F" w:rsidRPr="00C6783F" w14:paraId="065AC458" w14:textId="77777777" w:rsidTr="00C6783F">
        <w:tc>
          <w:tcPr>
            <w:tcW w:w="1728" w:type="dxa"/>
          </w:tcPr>
          <w:p w14:paraId="77EA2426" w14:textId="77777777" w:rsidR="00BE5717" w:rsidRPr="00C6783F" w:rsidRDefault="00BE5717" w:rsidP="00BE5717">
            <w:pPr>
              <w:rPr>
                <w:rFonts w:ascii="Arial" w:hAnsi="Arial" w:cs="Arial"/>
              </w:rPr>
            </w:pPr>
            <w:r w:rsidRPr="00C6783F">
              <w:rPr>
                <w:rFonts w:ascii="Arial" w:hAnsi="Arial" w:cs="Arial"/>
              </w:rPr>
              <w:t>Linearity and Range</w:t>
            </w:r>
          </w:p>
          <w:p w14:paraId="7357068B" w14:textId="309D34F3" w:rsidR="00BE5717" w:rsidRPr="00C6783F" w:rsidRDefault="00BE5717" w:rsidP="00BE5717">
            <w:pPr>
              <w:rPr>
                <w:rFonts w:ascii="Arial" w:hAnsi="Arial" w:cs="Arial"/>
              </w:rPr>
            </w:pPr>
            <w:r w:rsidRPr="00C6783F">
              <w:rPr>
                <w:rFonts w:ascii="Arial" w:hAnsi="Arial" w:cs="Arial"/>
              </w:rPr>
              <w:br/>
            </w:r>
          </w:p>
          <w:p w14:paraId="315FFC2F" w14:textId="197F5F78" w:rsidR="00BE5717" w:rsidRPr="00C6783F" w:rsidRDefault="00BE5717" w:rsidP="00BE5717">
            <w:pPr>
              <w:rPr>
                <w:rFonts w:ascii="Arial" w:hAnsi="Arial" w:cs="Arial"/>
              </w:rPr>
            </w:pPr>
          </w:p>
        </w:tc>
        <w:tc>
          <w:tcPr>
            <w:tcW w:w="7848" w:type="dxa"/>
          </w:tcPr>
          <w:p w14:paraId="2BCFB455" w14:textId="6CA8F1D3" w:rsidR="00BE5717" w:rsidRPr="00C6783F" w:rsidRDefault="00BE5717" w:rsidP="00BE5717">
            <w:pPr>
              <w:rPr>
                <w:rFonts w:ascii="Arial" w:hAnsi="Arial" w:cs="Arial"/>
              </w:rPr>
            </w:pPr>
            <w:r w:rsidRPr="00C6783F">
              <w:rPr>
                <w:rFonts w:ascii="Arial" w:hAnsi="Arial" w:cs="Arial"/>
              </w:rPr>
              <w:t xml:space="preserve">Range: </w:t>
            </w:r>
            <w:r w:rsidR="00246458" w:rsidRPr="00C6783F">
              <w:rPr>
                <w:rFonts w:ascii="Arial" w:hAnsi="Arial" w:cs="Arial"/>
              </w:rPr>
              <w:t>T</w:t>
            </w:r>
            <w:r w:rsidRPr="00C6783F">
              <w:rPr>
                <w:rFonts w:ascii="Arial" w:hAnsi="Arial" w:cs="Arial"/>
              </w:rPr>
              <w:t xml:space="preserve">esting range to be </w:t>
            </w:r>
            <w:r w:rsidRPr="00C6783F">
              <w:rPr>
                <w:rFonts w:ascii="Arial" w:hAnsi="Arial" w:cs="Arial"/>
              </w:rPr>
              <w:t>validated. Typical ranges as follows:</w:t>
            </w:r>
          </w:p>
          <w:p w14:paraId="6539A904" w14:textId="77777777" w:rsidR="00BE5717" w:rsidRPr="00C6783F" w:rsidRDefault="00BE5717" w:rsidP="00BE5717">
            <w:pPr>
              <w:pStyle w:val="ListParagraph"/>
              <w:numPr>
                <w:ilvl w:val="0"/>
                <w:numId w:val="2"/>
              </w:numPr>
              <w:rPr>
                <w:rFonts w:ascii="Arial" w:hAnsi="Arial" w:cs="Arial"/>
              </w:rPr>
            </w:pPr>
            <w:r w:rsidRPr="00C6783F">
              <w:rPr>
                <w:rFonts w:ascii="Arial" w:hAnsi="Arial" w:cs="Arial"/>
              </w:rPr>
              <w:t>Assay: 50-150% of target sample concentrations</w:t>
            </w:r>
          </w:p>
          <w:p w14:paraId="18579B06" w14:textId="77777777" w:rsidR="00BE5717" w:rsidRPr="00C6783F" w:rsidRDefault="00BE5717" w:rsidP="00BE5717">
            <w:pPr>
              <w:pStyle w:val="ListParagraph"/>
              <w:numPr>
                <w:ilvl w:val="0"/>
                <w:numId w:val="2"/>
              </w:numPr>
              <w:rPr>
                <w:rFonts w:ascii="Arial" w:hAnsi="Arial" w:cs="Arial"/>
              </w:rPr>
            </w:pPr>
            <w:r w:rsidRPr="00C6783F">
              <w:rPr>
                <w:rFonts w:ascii="Arial" w:hAnsi="Arial" w:cs="Arial"/>
              </w:rPr>
              <w:t xml:space="preserve">Dissolution: </w:t>
            </w:r>
            <w:r w:rsidR="00246458" w:rsidRPr="00C6783F">
              <w:rPr>
                <w:rFonts w:ascii="Arial" w:hAnsi="Arial" w:cs="Arial"/>
              </w:rPr>
              <w:t>10%-150% of target sample concentration</w:t>
            </w:r>
          </w:p>
          <w:p w14:paraId="3A694EA1" w14:textId="77777777" w:rsidR="00246458" w:rsidRPr="00C6783F" w:rsidRDefault="00246458" w:rsidP="00BE5717">
            <w:pPr>
              <w:pStyle w:val="ListParagraph"/>
              <w:numPr>
                <w:ilvl w:val="0"/>
                <w:numId w:val="2"/>
              </w:numPr>
              <w:rPr>
                <w:rFonts w:ascii="Arial" w:hAnsi="Arial" w:cs="Arial"/>
              </w:rPr>
            </w:pPr>
            <w:r w:rsidRPr="00C6783F">
              <w:rPr>
                <w:rFonts w:ascii="Arial" w:hAnsi="Arial" w:cs="Arial"/>
              </w:rPr>
              <w:t>Related Substances/Impurities, Residual Solvents: QL-150% (QL defined as Quantitation Limit of the method)</w:t>
            </w:r>
          </w:p>
          <w:p w14:paraId="34ECBEE5" w14:textId="3F27C0BA" w:rsidR="00246458" w:rsidRPr="00C6783F" w:rsidRDefault="00246458" w:rsidP="00246458">
            <w:pPr>
              <w:rPr>
                <w:rFonts w:ascii="Arial" w:hAnsi="Arial" w:cs="Arial"/>
              </w:rPr>
            </w:pPr>
            <w:r w:rsidRPr="00C6783F">
              <w:rPr>
                <w:rFonts w:ascii="Arial" w:hAnsi="Arial" w:cs="Arial"/>
              </w:rPr>
              <w:t xml:space="preserve">Linearity: </w:t>
            </w:r>
          </w:p>
          <w:p w14:paraId="4A5A5424" w14:textId="32C633D7" w:rsidR="00246458" w:rsidRPr="00C6783F" w:rsidRDefault="00246458" w:rsidP="00246458">
            <w:pPr>
              <w:rPr>
                <w:rFonts w:ascii="Arial" w:hAnsi="Arial" w:cs="Arial"/>
              </w:rPr>
            </w:pPr>
            <w:r w:rsidRPr="00C6783F">
              <w:rPr>
                <w:rFonts w:ascii="Arial" w:hAnsi="Arial" w:cs="Arial"/>
                <w:noProof/>
              </w:rPr>
              <w:drawing>
                <wp:inline distT="0" distB="0" distL="0" distR="0" wp14:anchorId="78BF8276" wp14:editId="0E66C287">
                  <wp:extent cx="4842345" cy="1474949"/>
                  <wp:effectExtent l="0" t="0" r="0" b="0"/>
                  <wp:docPr id="164280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04367" name=""/>
                          <pic:cNvPicPr/>
                        </pic:nvPicPr>
                        <pic:blipFill>
                          <a:blip r:embed="rId9"/>
                          <a:stretch>
                            <a:fillRect/>
                          </a:stretch>
                        </pic:blipFill>
                        <pic:spPr>
                          <a:xfrm>
                            <a:off x="0" y="0"/>
                            <a:ext cx="4855784" cy="1479042"/>
                          </a:xfrm>
                          <a:prstGeom prst="rect">
                            <a:avLst/>
                          </a:prstGeom>
                        </pic:spPr>
                      </pic:pic>
                    </a:graphicData>
                  </a:graphic>
                </wp:inline>
              </w:drawing>
            </w:r>
          </w:p>
        </w:tc>
      </w:tr>
      <w:tr w:rsidR="00C6783F" w:rsidRPr="00C6783F" w14:paraId="4895960B" w14:textId="77777777" w:rsidTr="00C6783F">
        <w:tc>
          <w:tcPr>
            <w:tcW w:w="1728" w:type="dxa"/>
          </w:tcPr>
          <w:p w14:paraId="632B2095" w14:textId="5F927303" w:rsidR="00BE5717" w:rsidRPr="00C6783F" w:rsidRDefault="00246458" w:rsidP="00BE5717">
            <w:pPr>
              <w:rPr>
                <w:rFonts w:ascii="Arial" w:hAnsi="Arial" w:cs="Arial"/>
              </w:rPr>
            </w:pPr>
            <w:r w:rsidRPr="00C6783F">
              <w:rPr>
                <w:rFonts w:ascii="Arial" w:hAnsi="Arial" w:cs="Arial"/>
              </w:rPr>
              <w:t>Specificity</w:t>
            </w:r>
            <w:r w:rsidR="00FD2030">
              <w:rPr>
                <w:rFonts w:ascii="Arial" w:hAnsi="Arial" w:cs="Arial"/>
              </w:rPr>
              <w:t xml:space="preserve"> (Identification, Interference)</w:t>
            </w:r>
          </w:p>
        </w:tc>
        <w:tc>
          <w:tcPr>
            <w:tcW w:w="7848" w:type="dxa"/>
          </w:tcPr>
          <w:p w14:paraId="102D4500" w14:textId="73FF3D47" w:rsidR="00246458" w:rsidRPr="00C6783F" w:rsidRDefault="00246458" w:rsidP="00BE5717">
            <w:pPr>
              <w:rPr>
                <w:rFonts w:ascii="Arial" w:hAnsi="Arial" w:cs="Arial"/>
              </w:rPr>
            </w:pPr>
            <w:r w:rsidRPr="00C6783F">
              <w:rPr>
                <w:rFonts w:ascii="Arial" w:hAnsi="Arial" w:cs="Arial"/>
              </w:rPr>
              <w:t xml:space="preserve">Identification: Evaluate peak identities via retention time. </w:t>
            </w:r>
          </w:p>
          <w:p w14:paraId="750FEDEC" w14:textId="77777777" w:rsidR="00BE5717" w:rsidRPr="00C6783F" w:rsidRDefault="00246458" w:rsidP="00BE5717">
            <w:pPr>
              <w:rPr>
                <w:rFonts w:ascii="Arial" w:hAnsi="Arial" w:cs="Arial"/>
              </w:rPr>
            </w:pPr>
            <w:r w:rsidRPr="00C6783F">
              <w:rPr>
                <w:rFonts w:ascii="Arial" w:hAnsi="Arial" w:cs="Arial"/>
              </w:rPr>
              <w:t xml:space="preserve">Matrix Interference: Assess interference </w:t>
            </w:r>
            <w:r w:rsidRPr="00C6783F">
              <w:rPr>
                <w:rFonts w:ascii="Arial" w:hAnsi="Arial" w:cs="Arial"/>
              </w:rPr>
              <w:t>of peak of interest</w:t>
            </w:r>
            <w:r w:rsidRPr="00C6783F">
              <w:rPr>
                <w:rFonts w:ascii="Arial" w:hAnsi="Arial" w:cs="Arial"/>
              </w:rPr>
              <w:t xml:space="preserve"> from sources such as diluent and sample matrix.</w:t>
            </w:r>
          </w:p>
          <w:p w14:paraId="088DF250" w14:textId="4204C3EB" w:rsidR="00246458" w:rsidRPr="00C6783F" w:rsidRDefault="00246458" w:rsidP="00BE5717">
            <w:pPr>
              <w:rPr>
                <w:rFonts w:ascii="Arial" w:hAnsi="Arial" w:cs="Arial"/>
              </w:rPr>
            </w:pPr>
          </w:p>
        </w:tc>
      </w:tr>
      <w:tr w:rsidR="00FD2030" w:rsidRPr="00C6783F" w14:paraId="717A5B78" w14:textId="77777777" w:rsidTr="00C6783F">
        <w:tc>
          <w:tcPr>
            <w:tcW w:w="1728" w:type="dxa"/>
          </w:tcPr>
          <w:p w14:paraId="2616677E" w14:textId="4506C8AA" w:rsidR="00FD2030" w:rsidRPr="00C6783F" w:rsidRDefault="00FD2030" w:rsidP="00BE5717">
            <w:pPr>
              <w:rPr>
                <w:rFonts w:ascii="Arial" w:hAnsi="Arial" w:cs="Arial"/>
              </w:rPr>
            </w:pPr>
            <w:r w:rsidRPr="00C6783F">
              <w:rPr>
                <w:rFonts w:ascii="Arial" w:hAnsi="Arial" w:cs="Arial"/>
              </w:rPr>
              <w:t>Specificity</w:t>
            </w:r>
            <w:r>
              <w:rPr>
                <w:rFonts w:ascii="Arial" w:hAnsi="Arial" w:cs="Arial"/>
              </w:rPr>
              <w:t xml:space="preserve"> (Forced Degradation)</w:t>
            </w:r>
          </w:p>
        </w:tc>
        <w:tc>
          <w:tcPr>
            <w:tcW w:w="7848" w:type="dxa"/>
          </w:tcPr>
          <w:p w14:paraId="448D080B" w14:textId="6C3A02A3" w:rsidR="00FD2030" w:rsidRPr="00C6783F" w:rsidRDefault="00FD2030" w:rsidP="00BE5717">
            <w:pPr>
              <w:rPr>
                <w:rFonts w:ascii="Arial" w:hAnsi="Arial" w:cs="Arial"/>
              </w:rPr>
            </w:pPr>
            <w:r>
              <w:rPr>
                <w:rFonts w:ascii="Arial" w:hAnsi="Arial" w:cs="Arial"/>
              </w:rPr>
              <w:t>—</w:t>
            </w:r>
          </w:p>
        </w:tc>
      </w:tr>
      <w:tr w:rsidR="00C6783F" w:rsidRPr="00C6783F" w14:paraId="2ECDD3A1" w14:textId="77777777" w:rsidTr="00C6783F">
        <w:tc>
          <w:tcPr>
            <w:tcW w:w="1728" w:type="dxa"/>
          </w:tcPr>
          <w:p w14:paraId="4F345C53" w14:textId="69284892" w:rsidR="00246458" w:rsidRPr="00C6783F" w:rsidRDefault="00246458" w:rsidP="00BE5717">
            <w:pPr>
              <w:rPr>
                <w:rFonts w:ascii="Arial" w:hAnsi="Arial" w:cs="Arial"/>
              </w:rPr>
            </w:pPr>
            <w:r w:rsidRPr="00C6783F">
              <w:rPr>
                <w:rFonts w:ascii="Arial" w:hAnsi="Arial" w:cs="Arial"/>
              </w:rPr>
              <w:lastRenderedPageBreak/>
              <w:t>Accuracy</w:t>
            </w:r>
          </w:p>
        </w:tc>
        <w:tc>
          <w:tcPr>
            <w:tcW w:w="7848" w:type="dxa"/>
          </w:tcPr>
          <w:p w14:paraId="26C6AC54" w14:textId="5B68CEB6" w:rsidR="00246458" w:rsidRPr="00C6783F" w:rsidRDefault="00C6783F" w:rsidP="00BE5717">
            <w:pPr>
              <w:rPr>
                <w:rFonts w:ascii="Arial" w:hAnsi="Arial" w:cs="Arial"/>
              </w:rPr>
            </w:pPr>
            <w:r w:rsidRPr="00C6783F">
              <w:rPr>
                <w:rFonts w:ascii="Arial" w:hAnsi="Arial" w:cs="Arial"/>
                <w:noProof/>
              </w:rPr>
              <w:drawing>
                <wp:inline distT="0" distB="0" distL="0" distR="0" wp14:anchorId="5ECEF5F4" wp14:editId="08F55BED">
                  <wp:extent cx="4921969" cy="3093058"/>
                  <wp:effectExtent l="0" t="0" r="0" b="0"/>
                  <wp:docPr id="152305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52779" name=""/>
                          <pic:cNvPicPr/>
                        </pic:nvPicPr>
                        <pic:blipFill>
                          <a:blip r:embed="rId10"/>
                          <a:stretch>
                            <a:fillRect/>
                          </a:stretch>
                        </pic:blipFill>
                        <pic:spPr>
                          <a:xfrm>
                            <a:off x="0" y="0"/>
                            <a:ext cx="4942455" cy="3105932"/>
                          </a:xfrm>
                          <a:prstGeom prst="rect">
                            <a:avLst/>
                          </a:prstGeom>
                        </pic:spPr>
                      </pic:pic>
                    </a:graphicData>
                  </a:graphic>
                </wp:inline>
              </w:drawing>
            </w:r>
          </w:p>
        </w:tc>
      </w:tr>
      <w:tr w:rsidR="00C6783F" w:rsidRPr="00C6783F" w14:paraId="72D657E0" w14:textId="77777777" w:rsidTr="00C6783F">
        <w:tc>
          <w:tcPr>
            <w:tcW w:w="1728" w:type="dxa"/>
          </w:tcPr>
          <w:p w14:paraId="59D10223" w14:textId="6A389E15" w:rsidR="00C6783F" w:rsidRPr="00C6783F" w:rsidRDefault="00C6783F" w:rsidP="00BE5717">
            <w:pPr>
              <w:rPr>
                <w:rFonts w:ascii="Arial" w:hAnsi="Arial" w:cs="Arial"/>
              </w:rPr>
            </w:pPr>
            <w:r w:rsidRPr="00C6783F">
              <w:rPr>
                <w:rFonts w:ascii="Arial" w:hAnsi="Arial" w:cs="Arial"/>
              </w:rPr>
              <w:t>Filter study (if used)</w:t>
            </w:r>
          </w:p>
        </w:tc>
        <w:tc>
          <w:tcPr>
            <w:tcW w:w="7848" w:type="dxa"/>
          </w:tcPr>
          <w:p w14:paraId="424BD926" w14:textId="45E2EA33" w:rsidR="00C6783F" w:rsidRPr="00C6783F" w:rsidRDefault="00C6783F" w:rsidP="00BE5717">
            <w:pPr>
              <w:rPr>
                <w:rFonts w:ascii="Arial" w:hAnsi="Arial" w:cs="Arial"/>
                <w:noProof/>
              </w:rPr>
            </w:pPr>
            <w:r w:rsidRPr="00C6783F">
              <w:rPr>
                <w:rFonts w:ascii="Arial" w:hAnsi="Arial" w:cs="Arial"/>
                <w:noProof/>
              </w:rPr>
              <w:drawing>
                <wp:inline distT="0" distB="0" distL="0" distR="0" wp14:anchorId="2D3F6E76" wp14:editId="7B3DED35">
                  <wp:extent cx="4858247" cy="716799"/>
                  <wp:effectExtent l="0" t="0" r="0" b="0"/>
                  <wp:docPr id="57701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15037" name=""/>
                          <pic:cNvPicPr/>
                        </pic:nvPicPr>
                        <pic:blipFill>
                          <a:blip r:embed="rId11"/>
                          <a:stretch>
                            <a:fillRect/>
                          </a:stretch>
                        </pic:blipFill>
                        <pic:spPr>
                          <a:xfrm>
                            <a:off x="0" y="0"/>
                            <a:ext cx="4906281" cy="723886"/>
                          </a:xfrm>
                          <a:prstGeom prst="rect">
                            <a:avLst/>
                          </a:prstGeom>
                        </pic:spPr>
                      </pic:pic>
                    </a:graphicData>
                  </a:graphic>
                </wp:inline>
              </w:drawing>
            </w:r>
          </w:p>
        </w:tc>
      </w:tr>
      <w:tr w:rsidR="00C6783F" w:rsidRPr="00C6783F" w14:paraId="4BC84FD0" w14:textId="77777777" w:rsidTr="00C6783F">
        <w:tc>
          <w:tcPr>
            <w:tcW w:w="1728" w:type="dxa"/>
          </w:tcPr>
          <w:p w14:paraId="39E8BC96" w14:textId="77777777" w:rsidR="00C6783F" w:rsidRPr="00C6783F" w:rsidRDefault="00C6783F" w:rsidP="00BE5717">
            <w:pPr>
              <w:rPr>
                <w:rFonts w:ascii="Arial" w:hAnsi="Arial" w:cs="Arial"/>
              </w:rPr>
            </w:pPr>
            <w:r w:rsidRPr="00C6783F">
              <w:rPr>
                <w:rFonts w:ascii="Arial" w:hAnsi="Arial" w:cs="Arial"/>
              </w:rPr>
              <w:t>Precision/</w:t>
            </w:r>
          </w:p>
          <w:p w14:paraId="48851F74" w14:textId="30C969B3" w:rsidR="00C6783F" w:rsidRPr="00C6783F" w:rsidRDefault="00C6783F" w:rsidP="00BE5717">
            <w:pPr>
              <w:rPr>
                <w:rFonts w:ascii="Arial" w:hAnsi="Arial" w:cs="Arial"/>
              </w:rPr>
            </w:pPr>
            <w:r w:rsidRPr="00C6783F">
              <w:rPr>
                <w:rFonts w:ascii="Arial" w:hAnsi="Arial" w:cs="Arial"/>
              </w:rPr>
              <w:t>Repeatability</w:t>
            </w:r>
          </w:p>
        </w:tc>
        <w:tc>
          <w:tcPr>
            <w:tcW w:w="7848" w:type="dxa"/>
          </w:tcPr>
          <w:p w14:paraId="361481E7" w14:textId="063BDF62" w:rsidR="00C6783F" w:rsidRPr="00C6783F" w:rsidRDefault="00C6783F" w:rsidP="00BE5717">
            <w:pPr>
              <w:rPr>
                <w:rFonts w:ascii="Arial" w:hAnsi="Arial" w:cs="Arial"/>
                <w:noProof/>
              </w:rPr>
            </w:pPr>
            <w:r w:rsidRPr="00C6783F">
              <w:rPr>
                <w:rFonts w:ascii="Arial" w:hAnsi="Arial" w:cs="Arial"/>
                <w:noProof/>
              </w:rPr>
              <w:drawing>
                <wp:inline distT="0" distB="0" distL="0" distR="0" wp14:anchorId="2EE55DFD" wp14:editId="30537B38">
                  <wp:extent cx="4467225" cy="1466850"/>
                  <wp:effectExtent l="0" t="0" r="9525" b="0"/>
                  <wp:docPr id="139660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00678" name=""/>
                          <pic:cNvPicPr/>
                        </pic:nvPicPr>
                        <pic:blipFill>
                          <a:blip r:embed="rId12"/>
                          <a:stretch>
                            <a:fillRect/>
                          </a:stretch>
                        </pic:blipFill>
                        <pic:spPr>
                          <a:xfrm>
                            <a:off x="0" y="0"/>
                            <a:ext cx="4467225" cy="1466850"/>
                          </a:xfrm>
                          <a:prstGeom prst="rect">
                            <a:avLst/>
                          </a:prstGeom>
                        </pic:spPr>
                      </pic:pic>
                    </a:graphicData>
                  </a:graphic>
                </wp:inline>
              </w:drawing>
            </w:r>
          </w:p>
        </w:tc>
      </w:tr>
      <w:tr w:rsidR="00C6783F" w:rsidRPr="00C6783F" w14:paraId="55E17909" w14:textId="77777777" w:rsidTr="00C6783F">
        <w:tc>
          <w:tcPr>
            <w:tcW w:w="1728" w:type="dxa"/>
          </w:tcPr>
          <w:p w14:paraId="74259E1C" w14:textId="6093612E" w:rsidR="00C6783F" w:rsidRPr="00C6783F" w:rsidRDefault="00C6783F" w:rsidP="00BE5717">
            <w:pPr>
              <w:rPr>
                <w:rFonts w:ascii="Arial" w:hAnsi="Arial" w:cs="Arial"/>
              </w:rPr>
            </w:pPr>
            <w:r w:rsidRPr="00C6783F">
              <w:rPr>
                <w:rFonts w:ascii="Arial" w:hAnsi="Arial" w:cs="Arial"/>
              </w:rPr>
              <w:t>Intermediate Precision/ Reproducibility</w:t>
            </w:r>
          </w:p>
        </w:tc>
        <w:tc>
          <w:tcPr>
            <w:tcW w:w="7848" w:type="dxa"/>
          </w:tcPr>
          <w:p w14:paraId="622F912E" w14:textId="07743BD0" w:rsidR="00C6783F" w:rsidRPr="00C6783F" w:rsidRDefault="00C6783F" w:rsidP="00BE5717">
            <w:pPr>
              <w:rPr>
                <w:rFonts w:ascii="Arial" w:hAnsi="Arial" w:cs="Arial"/>
                <w:noProof/>
              </w:rPr>
            </w:pPr>
            <w:r w:rsidRPr="00C6783F">
              <w:rPr>
                <w:rFonts w:ascii="Arial" w:hAnsi="Arial" w:cs="Arial"/>
                <w:noProof/>
              </w:rPr>
              <w:drawing>
                <wp:inline distT="0" distB="0" distL="0" distR="0" wp14:anchorId="11275A8E" wp14:editId="2DC9B1B5">
                  <wp:extent cx="4846320" cy="1231265"/>
                  <wp:effectExtent l="0" t="0" r="0" b="6985"/>
                  <wp:docPr id="180703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31053" name=""/>
                          <pic:cNvPicPr/>
                        </pic:nvPicPr>
                        <pic:blipFill>
                          <a:blip r:embed="rId13"/>
                          <a:stretch>
                            <a:fillRect/>
                          </a:stretch>
                        </pic:blipFill>
                        <pic:spPr>
                          <a:xfrm>
                            <a:off x="0" y="0"/>
                            <a:ext cx="4846320" cy="1231265"/>
                          </a:xfrm>
                          <a:prstGeom prst="rect">
                            <a:avLst/>
                          </a:prstGeom>
                        </pic:spPr>
                      </pic:pic>
                    </a:graphicData>
                  </a:graphic>
                </wp:inline>
              </w:drawing>
            </w:r>
          </w:p>
        </w:tc>
      </w:tr>
      <w:tr w:rsidR="00C6783F" w:rsidRPr="00C6783F" w14:paraId="0CA0EEA2" w14:textId="77777777" w:rsidTr="00C6783F">
        <w:tc>
          <w:tcPr>
            <w:tcW w:w="1728" w:type="dxa"/>
          </w:tcPr>
          <w:p w14:paraId="1A6EA74B" w14:textId="4D5A8E16" w:rsidR="00C6783F" w:rsidRPr="00C6783F" w:rsidRDefault="00C6783F" w:rsidP="00BE5717">
            <w:pPr>
              <w:rPr>
                <w:rFonts w:ascii="Arial" w:hAnsi="Arial" w:cs="Arial"/>
              </w:rPr>
            </w:pPr>
            <w:r w:rsidRPr="00C6783F">
              <w:rPr>
                <w:rFonts w:ascii="Arial" w:hAnsi="Arial" w:cs="Arial"/>
              </w:rPr>
              <w:t>Quantitation Limit</w:t>
            </w:r>
          </w:p>
        </w:tc>
        <w:tc>
          <w:tcPr>
            <w:tcW w:w="7848" w:type="dxa"/>
          </w:tcPr>
          <w:p w14:paraId="122D17B0" w14:textId="77777777" w:rsidR="00C6783F" w:rsidRDefault="00C6783F" w:rsidP="00BE5717">
            <w:pPr>
              <w:rPr>
                <w:rFonts w:ascii="Arial" w:hAnsi="Arial" w:cs="Arial"/>
                <w:noProof/>
              </w:rPr>
            </w:pPr>
            <w:r w:rsidRPr="00C6783F">
              <w:rPr>
                <w:rFonts w:ascii="Arial" w:hAnsi="Arial" w:cs="Arial"/>
              </w:rPr>
              <w:t>Applies only to</w:t>
            </w:r>
            <w:r w:rsidRPr="00C6783F">
              <w:rPr>
                <w:rFonts w:ascii="Arial" w:hAnsi="Arial" w:cs="Arial"/>
                <w:noProof/>
              </w:rPr>
              <w:t xml:space="preserve"> Related Substance</w:t>
            </w:r>
            <w:r>
              <w:rPr>
                <w:rFonts w:ascii="Arial" w:hAnsi="Arial" w:cs="Arial"/>
                <w:noProof/>
              </w:rPr>
              <w:t>s, Impurities, Residual Solvents</w:t>
            </w:r>
          </w:p>
          <w:p w14:paraId="7BC0E79D" w14:textId="77777777" w:rsidR="00C6783F" w:rsidRDefault="00C6783F" w:rsidP="00BE5717">
            <w:pPr>
              <w:rPr>
                <w:rFonts w:ascii="Arial" w:hAnsi="Arial" w:cs="Arial"/>
                <w:noProof/>
              </w:rPr>
            </w:pPr>
          </w:p>
          <w:p w14:paraId="2214A23E" w14:textId="3D784D6A" w:rsidR="00C6783F" w:rsidRPr="00C6783F" w:rsidRDefault="00C6783F" w:rsidP="00BE5717">
            <w:pPr>
              <w:rPr>
                <w:rFonts w:ascii="Arial" w:hAnsi="Arial" w:cs="Arial"/>
                <w:noProof/>
              </w:rPr>
            </w:pPr>
            <w:r>
              <w:rPr>
                <w:rFonts w:ascii="Arial" w:hAnsi="Arial" w:cs="Arial"/>
                <w:noProof/>
              </w:rPr>
              <w:t>Signal-to-Noise: not less than (NLT) 10</w:t>
            </w:r>
          </w:p>
        </w:tc>
      </w:tr>
      <w:tr w:rsidR="00C6783F" w:rsidRPr="00C6783F" w14:paraId="2266F6A4" w14:textId="77777777" w:rsidTr="00C6783F">
        <w:tc>
          <w:tcPr>
            <w:tcW w:w="1728" w:type="dxa"/>
          </w:tcPr>
          <w:p w14:paraId="3D0F00A8" w14:textId="290C66E0" w:rsidR="00C6783F" w:rsidRPr="00C6783F" w:rsidRDefault="00C6783F" w:rsidP="00BE5717">
            <w:pPr>
              <w:rPr>
                <w:rFonts w:ascii="Arial" w:hAnsi="Arial" w:cs="Arial"/>
              </w:rPr>
            </w:pPr>
            <w:r>
              <w:rPr>
                <w:rFonts w:ascii="Arial" w:hAnsi="Arial" w:cs="Arial"/>
              </w:rPr>
              <w:t>Stability Solutions</w:t>
            </w:r>
          </w:p>
        </w:tc>
        <w:tc>
          <w:tcPr>
            <w:tcW w:w="7848" w:type="dxa"/>
          </w:tcPr>
          <w:p w14:paraId="5D948C43" w14:textId="77777777" w:rsidR="00C6783F" w:rsidRDefault="00C6783F" w:rsidP="00BE5717">
            <w:pPr>
              <w:rPr>
                <w:rFonts w:ascii="Arial" w:hAnsi="Arial" w:cs="Arial"/>
              </w:rPr>
            </w:pPr>
            <w:r>
              <w:rPr>
                <w:rFonts w:ascii="Arial" w:hAnsi="Arial" w:cs="Arial"/>
              </w:rPr>
              <w:t xml:space="preserve">Typical evaluations on standard, sample, mobile phase solutions </w:t>
            </w:r>
          </w:p>
          <w:p w14:paraId="36DBDA16" w14:textId="3E948345" w:rsidR="00C6783F" w:rsidRDefault="00C6783F" w:rsidP="00BE5717">
            <w:pPr>
              <w:rPr>
                <w:rFonts w:ascii="Arial" w:hAnsi="Arial" w:cs="Arial"/>
              </w:rPr>
            </w:pPr>
            <w:r>
              <w:rPr>
                <w:noProof/>
              </w:rPr>
              <w:lastRenderedPageBreak/>
              <w:drawing>
                <wp:inline distT="0" distB="0" distL="0" distR="0" wp14:anchorId="627CB339" wp14:editId="64F484A5">
                  <wp:extent cx="4846320" cy="2156460"/>
                  <wp:effectExtent l="0" t="0" r="0" b="0"/>
                  <wp:docPr id="76440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07292" name=""/>
                          <pic:cNvPicPr/>
                        </pic:nvPicPr>
                        <pic:blipFill>
                          <a:blip r:embed="rId14"/>
                          <a:stretch>
                            <a:fillRect/>
                          </a:stretch>
                        </pic:blipFill>
                        <pic:spPr>
                          <a:xfrm>
                            <a:off x="0" y="0"/>
                            <a:ext cx="4846320" cy="2156460"/>
                          </a:xfrm>
                          <a:prstGeom prst="rect">
                            <a:avLst/>
                          </a:prstGeom>
                        </pic:spPr>
                      </pic:pic>
                    </a:graphicData>
                  </a:graphic>
                </wp:inline>
              </w:drawing>
            </w:r>
          </w:p>
          <w:p w14:paraId="0399127D" w14:textId="3157AF85" w:rsidR="00C6783F" w:rsidRPr="00C6783F" w:rsidRDefault="00C6783F" w:rsidP="00BE5717">
            <w:pPr>
              <w:rPr>
                <w:rFonts w:ascii="Arial" w:hAnsi="Arial" w:cs="Arial"/>
              </w:rPr>
            </w:pPr>
          </w:p>
        </w:tc>
      </w:tr>
      <w:tr w:rsidR="00FD2030" w:rsidRPr="00C6783F" w14:paraId="6FBED73D" w14:textId="77777777" w:rsidTr="00C6783F">
        <w:tc>
          <w:tcPr>
            <w:tcW w:w="1728" w:type="dxa"/>
          </w:tcPr>
          <w:p w14:paraId="7CC9E962" w14:textId="7B5182B2" w:rsidR="00FD2030" w:rsidRDefault="00FD2030" w:rsidP="00BE5717">
            <w:pPr>
              <w:rPr>
                <w:rFonts w:ascii="Arial" w:hAnsi="Arial" w:cs="Arial"/>
              </w:rPr>
            </w:pPr>
            <w:r>
              <w:rPr>
                <w:rFonts w:ascii="Arial" w:hAnsi="Arial" w:cs="Arial"/>
              </w:rPr>
              <w:lastRenderedPageBreak/>
              <w:t>Robustness</w:t>
            </w:r>
          </w:p>
        </w:tc>
        <w:tc>
          <w:tcPr>
            <w:tcW w:w="7848" w:type="dxa"/>
          </w:tcPr>
          <w:p w14:paraId="690B40B9" w14:textId="6BD77759" w:rsidR="00FD2030" w:rsidRDefault="00FD2030" w:rsidP="00BE5717">
            <w:pPr>
              <w:rPr>
                <w:rFonts w:ascii="Arial" w:hAnsi="Arial" w:cs="Arial"/>
              </w:rPr>
            </w:pPr>
            <w:r>
              <w:rPr>
                <w:rFonts w:ascii="Arial" w:hAnsi="Arial" w:cs="Arial"/>
              </w:rPr>
              <w:t>—</w:t>
            </w:r>
          </w:p>
        </w:tc>
      </w:tr>
    </w:tbl>
    <w:p w14:paraId="4542DF66" w14:textId="77777777" w:rsidR="00BE5717" w:rsidRPr="00C6783F" w:rsidRDefault="00BE5717">
      <w:pPr>
        <w:rPr>
          <w:rFonts w:ascii="Arial" w:hAnsi="Arial" w:cs="Arial"/>
        </w:rPr>
      </w:pPr>
    </w:p>
    <w:p w14:paraId="5EBE5C79" w14:textId="77777777" w:rsidR="00C6783F" w:rsidRDefault="00C6783F">
      <w:pPr>
        <w:rPr>
          <w:rFonts w:ascii="Arial" w:hAnsi="Arial" w:cs="Arial"/>
        </w:rPr>
      </w:pPr>
      <w:r>
        <w:rPr>
          <w:rFonts w:ascii="Arial" w:hAnsi="Arial" w:cs="Arial"/>
        </w:rPr>
        <w:br w:type="page"/>
      </w:r>
    </w:p>
    <w:p w14:paraId="249FF365" w14:textId="2317AFC2" w:rsidR="008B5352" w:rsidRDefault="00C6783F" w:rsidP="00C6783F">
      <w:pPr>
        <w:keepNext/>
        <w:rPr>
          <w:rFonts w:ascii="Arial" w:hAnsi="Arial" w:cs="Arial"/>
        </w:rPr>
      </w:pPr>
      <w:r>
        <w:rPr>
          <w:rFonts w:ascii="Arial" w:hAnsi="Arial" w:cs="Arial"/>
        </w:rPr>
        <w:lastRenderedPageBreak/>
        <w:t>Abbreviations:</w:t>
      </w:r>
    </w:p>
    <w:tbl>
      <w:tblPr>
        <w:tblStyle w:val="TableGrid"/>
        <w:tblW w:w="0" w:type="auto"/>
        <w:tblLook w:val="04A0" w:firstRow="1" w:lastRow="0" w:firstColumn="1" w:lastColumn="0" w:noHBand="0" w:noVBand="1"/>
      </w:tblPr>
      <w:tblGrid>
        <w:gridCol w:w="2480"/>
        <w:gridCol w:w="6870"/>
      </w:tblGrid>
      <w:tr w:rsidR="00C6783F" w14:paraId="479EFD71" w14:textId="77777777" w:rsidTr="00C6783F">
        <w:tc>
          <w:tcPr>
            <w:tcW w:w="2538" w:type="dxa"/>
          </w:tcPr>
          <w:p w14:paraId="64A03D31" w14:textId="67FA88E8" w:rsidR="00C6783F" w:rsidRDefault="00C6783F">
            <w:pPr>
              <w:rPr>
                <w:rFonts w:ascii="Arial" w:hAnsi="Arial" w:cs="Arial"/>
              </w:rPr>
            </w:pPr>
            <w:r>
              <w:rPr>
                <w:rFonts w:ascii="Arial" w:hAnsi="Arial" w:cs="Arial"/>
              </w:rPr>
              <w:t>NMT:</w:t>
            </w:r>
          </w:p>
        </w:tc>
        <w:tc>
          <w:tcPr>
            <w:tcW w:w="7038" w:type="dxa"/>
          </w:tcPr>
          <w:p w14:paraId="72587C21" w14:textId="0474E9BF" w:rsidR="00C6783F" w:rsidRDefault="00C6783F">
            <w:pPr>
              <w:rPr>
                <w:rFonts w:ascii="Arial" w:hAnsi="Arial" w:cs="Arial"/>
              </w:rPr>
            </w:pPr>
            <w:r>
              <w:rPr>
                <w:rFonts w:ascii="Arial" w:hAnsi="Arial" w:cs="Arial"/>
              </w:rPr>
              <w:t>Not more than</w:t>
            </w:r>
          </w:p>
        </w:tc>
      </w:tr>
      <w:tr w:rsidR="00C6783F" w14:paraId="198AD32F" w14:textId="77777777" w:rsidTr="00C6783F">
        <w:tc>
          <w:tcPr>
            <w:tcW w:w="2538" w:type="dxa"/>
          </w:tcPr>
          <w:p w14:paraId="4E289C5A" w14:textId="0AB02E70" w:rsidR="00C6783F" w:rsidRDefault="00C6783F">
            <w:pPr>
              <w:rPr>
                <w:rFonts w:ascii="Arial" w:hAnsi="Arial" w:cs="Arial"/>
              </w:rPr>
            </w:pPr>
            <w:r>
              <w:rPr>
                <w:rFonts w:ascii="Arial" w:hAnsi="Arial" w:cs="Arial"/>
              </w:rPr>
              <w:t>NLT</w:t>
            </w:r>
          </w:p>
        </w:tc>
        <w:tc>
          <w:tcPr>
            <w:tcW w:w="7038" w:type="dxa"/>
          </w:tcPr>
          <w:p w14:paraId="070302B0" w14:textId="2DE0B9FF" w:rsidR="00C6783F" w:rsidRDefault="00C6783F">
            <w:pPr>
              <w:rPr>
                <w:rFonts w:ascii="Arial" w:hAnsi="Arial" w:cs="Arial"/>
              </w:rPr>
            </w:pPr>
            <w:r>
              <w:rPr>
                <w:rFonts w:ascii="Arial" w:hAnsi="Arial" w:cs="Arial"/>
              </w:rPr>
              <w:t>Not less than</w:t>
            </w:r>
          </w:p>
        </w:tc>
      </w:tr>
      <w:tr w:rsidR="00C6783F" w14:paraId="0C4304E0" w14:textId="77777777" w:rsidTr="00C6783F">
        <w:tc>
          <w:tcPr>
            <w:tcW w:w="2538" w:type="dxa"/>
          </w:tcPr>
          <w:p w14:paraId="56BB34F9" w14:textId="3C9311A2" w:rsidR="00C6783F" w:rsidRDefault="00C6783F">
            <w:pPr>
              <w:rPr>
                <w:rFonts w:ascii="Arial" w:hAnsi="Arial" w:cs="Arial"/>
              </w:rPr>
            </w:pPr>
            <w:r>
              <w:rPr>
                <w:rFonts w:ascii="Arial" w:hAnsi="Arial" w:cs="Arial"/>
              </w:rPr>
              <w:t>RSD</w:t>
            </w:r>
          </w:p>
        </w:tc>
        <w:tc>
          <w:tcPr>
            <w:tcW w:w="7038" w:type="dxa"/>
          </w:tcPr>
          <w:p w14:paraId="66EC248C" w14:textId="5252503D" w:rsidR="00C6783F" w:rsidRDefault="00C6783F">
            <w:pPr>
              <w:rPr>
                <w:rFonts w:ascii="Arial" w:hAnsi="Arial" w:cs="Arial"/>
              </w:rPr>
            </w:pPr>
            <w:r>
              <w:rPr>
                <w:rFonts w:ascii="Arial" w:hAnsi="Arial" w:cs="Arial"/>
              </w:rPr>
              <w:t xml:space="preserve">Relative standard deviation </w:t>
            </w:r>
          </w:p>
        </w:tc>
      </w:tr>
      <w:tr w:rsidR="00C6783F" w14:paraId="0862361A" w14:textId="77777777" w:rsidTr="00C6783F">
        <w:tc>
          <w:tcPr>
            <w:tcW w:w="2538" w:type="dxa"/>
          </w:tcPr>
          <w:p w14:paraId="213F2EFB" w14:textId="47549252" w:rsidR="00C6783F" w:rsidRDefault="00C6783F">
            <w:pPr>
              <w:rPr>
                <w:rFonts w:ascii="Arial" w:hAnsi="Arial" w:cs="Arial"/>
              </w:rPr>
            </w:pPr>
            <w:r>
              <w:rPr>
                <w:rFonts w:ascii="Arial" w:hAnsi="Arial" w:cs="Arial"/>
              </w:rPr>
              <w:t>CU</w:t>
            </w:r>
          </w:p>
        </w:tc>
        <w:tc>
          <w:tcPr>
            <w:tcW w:w="7038" w:type="dxa"/>
          </w:tcPr>
          <w:p w14:paraId="0FFA1772" w14:textId="5D4CB8A7" w:rsidR="00C6783F" w:rsidRDefault="00C6783F">
            <w:pPr>
              <w:rPr>
                <w:rFonts w:ascii="Arial" w:hAnsi="Arial" w:cs="Arial"/>
              </w:rPr>
            </w:pPr>
            <w:r>
              <w:rPr>
                <w:rFonts w:ascii="Arial" w:hAnsi="Arial" w:cs="Arial"/>
              </w:rPr>
              <w:t>Content Uniformity (Uniformity of Dosage)</w:t>
            </w:r>
          </w:p>
        </w:tc>
      </w:tr>
      <w:tr w:rsidR="00C6783F" w14:paraId="40CD8120" w14:textId="77777777" w:rsidTr="00C6783F">
        <w:tc>
          <w:tcPr>
            <w:tcW w:w="2538" w:type="dxa"/>
          </w:tcPr>
          <w:p w14:paraId="003A3D4E" w14:textId="34DAC7AA" w:rsidR="00C6783F" w:rsidRDefault="00C6783F">
            <w:pPr>
              <w:rPr>
                <w:rFonts w:ascii="Arial" w:hAnsi="Arial" w:cs="Arial"/>
              </w:rPr>
            </w:pPr>
            <w:r>
              <w:rPr>
                <w:rFonts w:ascii="Arial" w:hAnsi="Arial" w:cs="Arial"/>
              </w:rPr>
              <w:t>USP, BP, EP, JP</w:t>
            </w:r>
          </w:p>
        </w:tc>
        <w:tc>
          <w:tcPr>
            <w:tcW w:w="7038" w:type="dxa"/>
          </w:tcPr>
          <w:p w14:paraId="554E883D" w14:textId="45EDDE1B" w:rsidR="00C6783F" w:rsidRDefault="00C6783F">
            <w:pPr>
              <w:rPr>
                <w:rFonts w:ascii="Arial" w:hAnsi="Arial" w:cs="Arial"/>
              </w:rPr>
            </w:pPr>
            <w:r>
              <w:rPr>
                <w:rFonts w:ascii="Arial" w:hAnsi="Arial" w:cs="Arial"/>
              </w:rPr>
              <w:t xml:space="preserve">United States Pharmacopoeia, </w:t>
            </w:r>
            <w:r>
              <w:rPr>
                <w:rFonts w:ascii="Arial" w:hAnsi="Arial" w:cs="Arial"/>
              </w:rPr>
              <w:t>British Pharmacopoeia</w:t>
            </w:r>
            <w:r>
              <w:rPr>
                <w:rFonts w:ascii="Arial" w:hAnsi="Arial" w:cs="Arial"/>
              </w:rPr>
              <w:t xml:space="preserve">, </w:t>
            </w:r>
            <w:r>
              <w:rPr>
                <w:rFonts w:ascii="Arial" w:hAnsi="Arial" w:cs="Arial"/>
              </w:rPr>
              <w:t>European Pharmacopoeia</w:t>
            </w:r>
            <w:r>
              <w:rPr>
                <w:rFonts w:ascii="Arial" w:hAnsi="Arial" w:cs="Arial"/>
              </w:rPr>
              <w:t xml:space="preserve">, </w:t>
            </w:r>
            <w:r>
              <w:rPr>
                <w:rFonts w:ascii="Arial" w:hAnsi="Arial" w:cs="Arial"/>
              </w:rPr>
              <w:t>Japanese Pharmacopoeia</w:t>
            </w:r>
          </w:p>
        </w:tc>
      </w:tr>
    </w:tbl>
    <w:p w14:paraId="36FB4551" w14:textId="3FB89C56" w:rsidR="00C6783F" w:rsidRPr="00C6783F" w:rsidRDefault="00C6783F">
      <w:pPr>
        <w:rPr>
          <w:rFonts w:ascii="Arial" w:hAnsi="Arial" w:cs="Arial"/>
        </w:rPr>
      </w:pPr>
    </w:p>
    <w:p w14:paraId="2A1A6ABA" w14:textId="77777777" w:rsidR="008B5352" w:rsidRPr="00C6783F" w:rsidRDefault="008B5352">
      <w:pPr>
        <w:rPr>
          <w:rFonts w:ascii="Arial" w:hAnsi="Arial" w:cs="Arial"/>
        </w:rPr>
      </w:pPr>
    </w:p>
    <w:sectPr w:rsidR="008B5352" w:rsidRPr="00C6783F" w:rsidSect="004E18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D0968"/>
    <w:multiLevelType w:val="hybridMultilevel"/>
    <w:tmpl w:val="169A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11BCF"/>
    <w:multiLevelType w:val="hybridMultilevel"/>
    <w:tmpl w:val="144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5473D"/>
    <w:multiLevelType w:val="hybridMultilevel"/>
    <w:tmpl w:val="5A9C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001983">
    <w:abstractNumId w:val="1"/>
  </w:num>
  <w:num w:numId="2" w16cid:durableId="1430345322">
    <w:abstractNumId w:val="2"/>
  </w:num>
  <w:num w:numId="3" w16cid:durableId="1566447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52"/>
    <w:rsid w:val="00246458"/>
    <w:rsid w:val="003940FD"/>
    <w:rsid w:val="00465773"/>
    <w:rsid w:val="004E1875"/>
    <w:rsid w:val="008B5352"/>
    <w:rsid w:val="00BE5717"/>
    <w:rsid w:val="00C6783F"/>
    <w:rsid w:val="00E26510"/>
    <w:rsid w:val="00FA1949"/>
    <w:rsid w:val="00FD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206B"/>
  <w15:chartTrackingRefBased/>
  <w15:docId w15:val="{E05BCFE2-9D08-44FD-85C8-C7D41F86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875"/>
  </w:style>
  <w:style w:type="paragraph" w:styleId="Heading1">
    <w:name w:val="heading 1"/>
    <w:basedOn w:val="Normal"/>
    <w:next w:val="Normal"/>
    <w:link w:val="Heading1Char"/>
    <w:uiPriority w:val="9"/>
    <w:qFormat/>
    <w:rsid w:val="008B535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link w:val="Heading2Char"/>
    <w:uiPriority w:val="9"/>
    <w:qFormat/>
    <w:rsid w:val="004657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535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B535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B535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B5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577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B5352"/>
    <w:rPr>
      <w:rFonts w:asciiTheme="majorHAnsi" w:eastAsiaTheme="majorEastAsia" w:hAnsiTheme="majorHAnsi" w:cstheme="majorBidi"/>
      <w:color w:val="365F91" w:themeColor="accent1" w:themeShade="BF"/>
      <w:sz w:val="40"/>
      <w:szCs w:val="40"/>
    </w:rPr>
  </w:style>
  <w:style w:type="character" w:customStyle="1" w:styleId="Heading3Char">
    <w:name w:val="Heading 3 Char"/>
    <w:basedOn w:val="DefaultParagraphFont"/>
    <w:link w:val="Heading3"/>
    <w:uiPriority w:val="9"/>
    <w:semiHidden/>
    <w:rsid w:val="008B535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B535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B535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B5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352"/>
    <w:rPr>
      <w:rFonts w:eastAsiaTheme="majorEastAsia" w:cstheme="majorBidi"/>
      <w:color w:val="272727" w:themeColor="text1" w:themeTint="D8"/>
    </w:rPr>
  </w:style>
  <w:style w:type="paragraph" w:styleId="Title">
    <w:name w:val="Title"/>
    <w:basedOn w:val="Normal"/>
    <w:next w:val="Normal"/>
    <w:link w:val="TitleChar"/>
    <w:uiPriority w:val="10"/>
    <w:qFormat/>
    <w:rsid w:val="008B5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3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3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5352"/>
    <w:rPr>
      <w:i/>
      <w:iCs/>
      <w:color w:val="404040" w:themeColor="text1" w:themeTint="BF"/>
    </w:rPr>
  </w:style>
  <w:style w:type="paragraph" w:styleId="ListParagraph">
    <w:name w:val="List Paragraph"/>
    <w:basedOn w:val="Normal"/>
    <w:uiPriority w:val="34"/>
    <w:qFormat/>
    <w:rsid w:val="008B5352"/>
    <w:pPr>
      <w:ind w:left="720"/>
      <w:contextualSpacing/>
    </w:pPr>
  </w:style>
  <w:style w:type="character" w:styleId="IntenseEmphasis">
    <w:name w:val="Intense Emphasis"/>
    <w:basedOn w:val="DefaultParagraphFont"/>
    <w:uiPriority w:val="21"/>
    <w:qFormat/>
    <w:rsid w:val="008B5352"/>
    <w:rPr>
      <w:i/>
      <w:iCs/>
      <w:color w:val="365F91" w:themeColor="accent1" w:themeShade="BF"/>
    </w:rPr>
  </w:style>
  <w:style w:type="paragraph" w:styleId="IntenseQuote">
    <w:name w:val="Intense Quote"/>
    <w:basedOn w:val="Normal"/>
    <w:next w:val="Normal"/>
    <w:link w:val="IntenseQuoteChar"/>
    <w:uiPriority w:val="30"/>
    <w:qFormat/>
    <w:rsid w:val="008B535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B5352"/>
    <w:rPr>
      <w:i/>
      <w:iCs/>
      <w:color w:val="365F91" w:themeColor="accent1" w:themeShade="BF"/>
    </w:rPr>
  </w:style>
  <w:style w:type="character" w:styleId="IntenseReference">
    <w:name w:val="Intense Reference"/>
    <w:basedOn w:val="DefaultParagraphFont"/>
    <w:uiPriority w:val="32"/>
    <w:qFormat/>
    <w:rsid w:val="008B5352"/>
    <w:rPr>
      <w:b/>
      <w:bCs/>
      <w:smallCaps/>
      <w:color w:val="365F91" w:themeColor="accent1" w:themeShade="BF"/>
      <w:spacing w:val="5"/>
    </w:rPr>
  </w:style>
  <w:style w:type="table" w:styleId="TableGrid">
    <w:name w:val="Table Grid"/>
    <w:basedOn w:val="TableNormal"/>
    <w:uiPriority w:val="59"/>
    <w:rsid w:val="008B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70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Kim</dc:creator>
  <cp:keywords/>
  <dc:description/>
  <cp:lastModifiedBy>Timothy Kim</cp:lastModifiedBy>
  <cp:revision>2</cp:revision>
  <dcterms:created xsi:type="dcterms:W3CDTF">2024-08-30T18:03:00Z</dcterms:created>
  <dcterms:modified xsi:type="dcterms:W3CDTF">2024-08-30T18:52:00Z</dcterms:modified>
</cp:coreProperties>
</file>