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E4E" w:rsidRDefault="00842E4E" w:rsidP="00CE35F7">
      <w:pPr>
        <w:pStyle w:val="NormalWeb"/>
        <w:jc w:val="center"/>
        <w:rPr>
          <w:sz w:val="48"/>
          <w:szCs w:val="48"/>
        </w:rPr>
      </w:pPr>
    </w:p>
    <w:p w:rsidR="00842E4E" w:rsidRPr="00842E4E" w:rsidRDefault="00842E4E" w:rsidP="00CE35F7">
      <w:pPr>
        <w:pStyle w:val="NormalWeb"/>
        <w:jc w:val="center"/>
        <w:rPr>
          <w:b/>
          <w:sz w:val="48"/>
          <w:szCs w:val="48"/>
        </w:rPr>
      </w:pPr>
    </w:p>
    <w:p w:rsidR="00CE35F7" w:rsidRPr="00842E4E" w:rsidRDefault="00CE35F7" w:rsidP="00CE35F7">
      <w:pPr>
        <w:pStyle w:val="NormalWeb"/>
        <w:jc w:val="center"/>
        <w:rPr>
          <w:b/>
          <w:sz w:val="48"/>
          <w:szCs w:val="48"/>
        </w:rPr>
      </w:pPr>
      <w:r w:rsidRPr="00842E4E">
        <w:rPr>
          <w:b/>
          <w:sz w:val="48"/>
          <w:szCs w:val="48"/>
        </w:rPr>
        <w:t>COMPARATIVE FINANCIAL STATEMENT A</w:t>
      </w:r>
      <w:r w:rsidR="004431AE">
        <w:rPr>
          <w:b/>
          <w:sz w:val="48"/>
          <w:szCs w:val="48"/>
        </w:rPr>
        <w:t>NALYSIS OF LEADING INDIAN BANKS</w:t>
      </w:r>
    </w:p>
    <w:p w:rsidR="00CE35F7" w:rsidRPr="00842E4E" w:rsidRDefault="00CE35F7" w:rsidP="00CE35F7">
      <w:pPr>
        <w:pStyle w:val="NormalWeb"/>
        <w:jc w:val="center"/>
        <w:rPr>
          <w:sz w:val="44"/>
          <w:szCs w:val="44"/>
        </w:rPr>
      </w:pPr>
      <w:r w:rsidRPr="00CE35F7">
        <w:rPr>
          <w:sz w:val="48"/>
          <w:szCs w:val="48"/>
        </w:rPr>
        <w:br/>
      </w:r>
      <w:r w:rsidRPr="00842E4E">
        <w:rPr>
          <w:sz w:val="44"/>
          <w:szCs w:val="44"/>
        </w:rPr>
        <w:t xml:space="preserve">A STUDY OF SBI, HDFC BANK AND ICICI BANK </w:t>
      </w:r>
      <w:r w:rsidRPr="00842E4E">
        <w:rPr>
          <w:sz w:val="44"/>
          <w:szCs w:val="44"/>
        </w:rPr>
        <w:br/>
        <w:t>(FY2020-21 TO FY2024-25)</w:t>
      </w:r>
    </w:p>
    <w:p w:rsidR="00CE35F7" w:rsidRDefault="00CE35F7" w:rsidP="00CE35F7">
      <w:pPr>
        <w:pStyle w:val="NormalWeb"/>
      </w:pPr>
    </w:p>
    <w:p w:rsidR="00CE35F7" w:rsidRPr="004C0804" w:rsidRDefault="00CE35F7" w:rsidP="00CE35F7">
      <w:pPr>
        <w:pStyle w:val="NormalWeb"/>
        <w:rPr>
          <w:i/>
          <w:sz w:val="28"/>
          <w:szCs w:val="28"/>
        </w:rPr>
      </w:pPr>
    </w:p>
    <w:p w:rsidR="00CE35F7" w:rsidRPr="004C0804" w:rsidRDefault="00CE35F7" w:rsidP="00842E4E">
      <w:pPr>
        <w:pStyle w:val="NormalWeb"/>
        <w:jc w:val="center"/>
        <w:rPr>
          <w:i/>
          <w:sz w:val="28"/>
          <w:szCs w:val="28"/>
        </w:rPr>
      </w:pPr>
      <w:r w:rsidRPr="004C0804">
        <w:rPr>
          <w:i/>
          <w:sz w:val="28"/>
          <w:szCs w:val="28"/>
        </w:rPr>
        <w:t>Independent Research Project</w:t>
      </w:r>
    </w:p>
    <w:p w:rsidR="00842E4E" w:rsidRPr="00CE35F7" w:rsidRDefault="00842E4E" w:rsidP="00842E4E">
      <w:pPr>
        <w:pStyle w:val="NormalWeb"/>
        <w:jc w:val="center"/>
        <w:rPr>
          <w:sz w:val="32"/>
          <w:szCs w:val="32"/>
        </w:rPr>
      </w:pPr>
    </w:p>
    <w:p w:rsidR="00CE35F7" w:rsidRPr="00CE35F7" w:rsidRDefault="00776426" w:rsidP="00842E4E">
      <w:pPr>
        <w:pStyle w:val="NormalWeb"/>
        <w:jc w:val="center"/>
        <w:rPr>
          <w:sz w:val="32"/>
          <w:szCs w:val="32"/>
        </w:rPr>
      </w:pPr>
      <w:r>
        <w:rPr>
          <w:sz w:val="32"/>
          <w:szCs w:val="32"/>
        </w:rPr>
        <w:t>Prepared B</w:t>
      </w:r>
      <w:bookmarkStart w:id="0" w:name="_GoBack"/>
      <w:bookmarkEnd w:id="0"/>
      <w:r w:rsidR="00CE35F7" w:rsidRPr="00CE35F7">
        <w:rPr>
          <w:sz w:val="32"/>
          <w:szCs w:val="32"/>
        </w:rPr>
        <w:t>y</w:t>
      </w:r>
    </w:p>
    <w:p w:rsidR="00CE35F7" w:rsidRPr="00842E4E" w:rsidRDefault="00CE35F7" w:rsidP="00842E4E">
      <w:pPr>
        <w:pStyle w:val="NormalWeb"/>
        <w:jc w:val="center"/>
        <w:rPr>
          <w:b/>
          <w:sz w:val="36"/>
          <w:szCs w:val="36"/>
        </w:rPr>
      </w:pPr>
      <w:r w:rsidRPr="00842E4E">
        <w:rPr>
          <w:b/>
          <w:sz w:val="36"/>
          <w:szCs w:val="36"/>
        </w:rPr>
        <w:t>ZUBIYA KHANUM</w:t>
      </w:r>
    </w:p>
    <w:p w:rsidR="00842E4E" w:rsidRPr="00CE35F7" w:rsidRDefault="00842E4E" w:rsidP="00842E4E">
      <w:pPr>
        <w:pStyle w:val="NormalWeb"/>
        <w:jc w:val="center"/>
        <w:rPr>
          <w:sz w:val="36"/>
          <w:szCs w:val="36"/>
        </w:rPr>
      </w:pPr>
    </w:p>
    <w:p w:rsidR="004B661E" w:rsidRDefault="00CE35F7" w:rsidP="00842E4E">
      <w:pPr>
        <w:pStyle w:val="NormalWeb"/>
        <w:jc w:val="center"/>
        <w:rPr>
          <w:sz w:val="32"/>
          <w:szCs w:val="32"/>
        </w:rPr>
      </w:pPr>
      <w:r w:rsidRPr="00CE35F7">
        <w:rPr>
          <w:sz w:val="32"/>
          <w:szCs w:val="32"/>
        </w:rPr>
        <w:t>June 2026</w:t>
      </w:r>
    </w:p>
    <w:p w:rsidR="004B661E" w:rsidRDefault="004B661E">
      <w:pPr>
        <w:rPr>
          <w:rFonts w:ascii="Times New Roman" w:eastAsia="Times New Roman" w:hAnsi="Times New Roman" w:cs="Times New Roman"/>
          <w:sz w:val="32"/>
          <w:szCs w:val="32"/>
          <w:lang w:eastAsia="en-IN"/>
        </w:rPr>
      </w:pPr>
      <w:r>
        <w:rPr>
          <w:sz w:val="32"/>
          <w:szCs w:val="32"/>
        </w:rPr>
        <w:br w:type="page"/>
      </w:r>
    </w:p>
    <w:p w:rsidR="00CE35F7" w:rsidRPr="00776426" w:rsidRDefault="00503BCC" w:rsidP="00842E4E">
      <w:pPr>
        <w:pStyle w:val="NormalWeb"/>
        <w:jc w:val="center"/>
        <w:rPr>
          <w:b/>
          <w:sz w:val="36"/>
          <w:szCs w:val="32"/>
        </w:rPr>
      </w:pPr>
      <w:r w:rsidRPr="00776426">
        <w:rPr>
          <w:b/>
          <w:noProof/>
          <w:sz w:val="44"/>
          <w:szCs w:val="40"/>
        </w:rPr>
        <w:lastRenderedPageBreak/>
        <mc:AlternateContent>
          <mc:Choice Requires="wps">
            <w:drawing>
              <wp:anchor distT="0" distB="0" distL="114300" distR="114300" simplePos="0" relativeHeight="251659264" behindDoc="0" locked="0" layoutInCell="1" allowOverlap="1">
                <wp:simplePos x="0" y="0"/>
                <wp:positionH relativeFrom="column">
                  <wp:posOffset>-209769</wp:posOffset>
                </wp:positionH>
                <wp:positionV relativeFrom="paragraph">
                  <wp:posOffset>385751</wp:posOffset>
                </wp:positionV>
                <wp:extent cx="61976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197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E3563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5pt,30.35pt" to="471.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" strokecolor="black [3200]" strokeweight="1.5pt">
                <v:stroke joinstyle="miter"/>
              </v:line>
            </w:pict>
          </mc:Fallback>
        </mc:AlternateContent>
      </w:r>
      <w:r w:rsidR="00A82454" w:rsidRPr="00776426">
        <w:rPr>
          <w:b/>
          <w:sz w:val="36"/>
          <w:szCs w:val="32"/>
        </w:rPr>
        <w:t>TABLE OF CONTENTS</w:t>
      </w:r>
    </w:p>
    <w:p w:rsidR="00A82454" w:rsidRDefault="00A82454" w:rsidP="00842E4E">
      <w:pPr>
        <w:pStyle w:val="NormalWeb"/>
        <w:jc w:val="center"/>
        <w:rPr>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933"/>
      </w:tblGrid>
      <w:tr w:rsidR="00A82454" w:rsidTr="00FA183A">
        <w:tc>
          <w:tcPr>
            <w:tcW w:w="7083" w:type="dxa"/>
          </w:tcPr>
          <w:p w:rsidR="00A82454" w:rsidRDefault="00A82454" w:rsidP="00A82454">
            <w:pPr>
              <w:pStyle w:val="NormalWeb"/>
              <w:rPr>
                <w:b/>
                <w:sz w:val="32"/>
                <w:szCs w:val="32"/>
              </w:rPr>
            </w:pPr>
            <w:r>
              <w:rPr>
                <w:b/>
                <w:sz w:val="32"/>
                <w:szCs w:val="32"/>
              </w:rPr>
              <w:t>CONTENTS</w:t>
            </w:r>
          </w:p>
          <w:p w:rsidR="00FA183A" w:rsidRDefault="00FA183A" w:rsidP="00A82454">
            <w:pPr>
              <w:pStyle w:val="NormalWeb"/>
              <w:rPr>
                <w:b/>
                <w:sz w:val="32"/>
                <w:szCs w:val="32"/>
              </w:rPr>
            </w:pPr>
          </w:p>
        </w:tc>
        <w:tc>
          <w:tcPr>
            <w:tcW w:w="1933" w:type="dxa"/>
          </w:tcPr>
          <w:p w:rsidR="00A82454" w:rsidRDefault="00A82454" w:rsidP="00842E4E">
            <w:pPr>
              <w:pStyle w:val="NormalWeb"/>
              <w:jc w:val="center"/>
              <w:rPr>
                <w:b/>
                <w:sz w:val="32"/>
                <w:szCs w:val="32"/>
              </w:rPr>
            </w:pPr>
            <w:r>
              <w:rPr>
                <w:b/>
                <w:sz w:val="32"/>
                <w:szCs w:val="32"/>
              </w:rPr>
              <w:t>PAGE NO.</w:t>
            </w:r>
          </w:p>
        </w:tc>
      </w:tr>
      <w:tr w:rsidR="00A82454" w:rsidTr="00FA183A">
        <w:trPr>
          <w:trHeight w:val="505"/>
        </w:trPr>
        <w:tc>
          <w:tcPr>
            <w:tcW w:w="7083" w:type="dxa"/>
          </w:tcPr>
          <w:p w:rsidR="00FA183A" w:rsidRDefault="00A82454" w:rsidP="00A82454">
            <w:pPr>
              <w:pStyle w:val="NormalWeb"/>
              <w:rPr>
                <w:b/>
                <w:sz w:val="32"/>
                <w:szCs w:val="32"/>
              </w:rPr>
            </w:pPr>
            <w:r>
              <w:rPr>
                <w:b/>
                <w:sz w:val="32"/>
                <w:szCs w:val="32"/>
              </w:rPr>
              <w:t>Acknowledgement</w:t>
            </w:r>
          </w:p>
        </w:tc>
        <w:tc>
          <w:tcPr>
            <w:tcW w:w="1933" w:type="dxa"/>
          </w:tcPr>
          <w:p w:rsidR="00A82454" w:rsidRDefault="00B121CF" w:rsidP="00503BCC">
            <w:pPr>
              <w:pStyle w:val="NormalWeb"/>
              <w:jc w:val="right"/>
              <w:rPr>
                <w:b/>
                <w:sz w:val="32"/>
                <w:szCs w:val="32"/>
              </w:rPr>
            </w:pPr>
            <w:r>
              <w:rPr>
                <w:b/>
                <w:sz w:val="32"/>
                <w:szCs w:val="32"/>
              </w:rPr>
              <w:t>2</w:t>
            </w:r>
          </w:p>
        </w:tc>
      </w:tr>
      <w:tr w:rsidR="00A82454" w:rsidTr="00FA183A">
        <w:trPr>
          <w:trHeight w:val="555"/>
        </w:trPr>
        <w:tc>
          <w:tcPr>
            <w:tcW w:w="7083" w:type="dxa"/>
          </w:tcPr>
          <w:p w:rsidR="00A82454" w:rsidRDefault="00A82454" w:rsidP="00A82454">
            <w:pPr>
              <w:pStyle w:val="NormalWeb"/>
              <w:rPr>
                <w:b/>
                <w:sz w:val="32"/>
                <w:szCs w:val="32"/>
              </w:rPr>
            </w:pPr>
            <w:r>
              <w:rPr>
                <w:b/>
                <w:sz w:val="32"/>
                <w:szCs w:val="32"/>
              </w:rPr>
              <w:t>Abstract</w:t>
            </w:r>
          </w:p>
        </w:tc>
        <w:tc>
          <w:tcPr>
            <w:tcW w:w="1933" w:type="dxa"/>
          </w:tcPr>
          <w:p w:rsidR="00A82454" w:rsidRDefault="00B121CF" w:rsidP="00B121CF">
            <w:pPr>
              <w:pStyle w:val="NormalWeb"/>
              <w:jc w:val="right"/>
              <w:rPr>
                <w:b/>
                <w:sz w:val="32"/>
                <w:szCs w:val="32"/>
              </w:rPr>
            </w:pPr>
            <w:r>
              <w:rPr>
                <w:b/>
                <w:sz w:val="32"/>
                <w:szCs w:val="32"/>
              </w:rPr>
              <w:t>3</w:t>
            </w:r>
          </w:p>
        </w:tc>
      </w:tr>
      <w:tr w:rsidR="00A82454" w:rsidTr="00FA183A">
        <w:trPr>
          <w:trHeight w:val="563"/>
        </w:trPr>
        <w:tc>
          <w:tcPr>
            <w:tcW w:w="7083" w:type="dxa"/>
          </w:tcPr>
          <w:p w:rsidR="00A82454" w:rsidRDefault="00A82454" w:rsidP="00A82454">
            <w:pPr>
              <w:pStyle w:val="NormalWeb"/>
              <w:rPr>
                <w:b/>
                <w:sz w:val="32"/>
                <w:szCs w:val="32"/>
              </w:rPr>
            </w:pPr>
            <w:r>
              <w:rPr>
                <w:b/>
                <w:sz w:val="32"/>
                <w:szCs w:val="32"/>
              </w:rPr>
              <w:t>Chapter 1: Introduction</w:t>
            </w:r>
          </w:p>
        </w:tc>
        <w:tc>
          <w:tcPr>
            <w:tcW w:w="1933" w:type="dxa"/>
          </w:tcPr>
          <w:p w:rsidR="00A82454" w:rsidRDefault="00B121CF" w:rsidP="00B121CF">
            <w:pPr>
              <w:pStyle w:val="NormalWeb"/>
              <w:jc w:val="right"/>
              <w:rPr>
                <w:b/>
                <w:sz w:val="32"/>
                <w:szCs w:val="32"/>
              </w:rPr>
            </w:pPr>
            <w:r>
              <w:rPr>
                <w:b/>
                <w:sz w:val="32"/>
                <w:szCs w:val="32"/>
              </w:rPr>
              <w:t>4</w:t>
            </w:r>
          </w:p>
        </w:tc>
      </w:tr>
      <w:tr w:rsidR="00A82454" w:rsidTr="00FA183A">
        <w:trPr>
          <w:trHeight w:val="542"/>
        </w:trPr>
        <w:tc>
          <w:tcPr>
            <w:tcW w:w="7083" w:type="dxa"/>
          </w:tcPr>
          <w:p w:rsidR="00A82454" w:rsidRDefault="00A82454" w:rsidP="00A82454">
            <w:pPr>
              <w:pStyle w:val="NormalWeb"/>
              <w:rPr>
                <w:b/>
                <w:sz w:val="32"/>
                <w:szCs w:val="32"/>
              </w:rPr>
            </w:pPr>
            <w:r>
              <w:rPr>
                <w:b/>
                <w:sz w:val="32"/>
                <w:szCs w:val="32"/>
              </w:rPr>
              <w:t>Chapter 2: Objectives of The Study</w:t>
            </w:r>
          </w:p>
        </w:tc>
        <w:tc>
          <w:tcPr>
            <w:tcW w:w="1933" w:type="dxa"/>
          </w:tcPr>
          <w:p w:rsidR="00A82454" w:rsidRDefault="00B121CF" w:rsidP="00B121CF">
            <w:pPr>
              <w:pStyle w:val="NormalWeb"/>
              <w:jc w:val="right"/>
              <w:rPr>
                <w:b/>
                <w:sz w:val="32"/>
                <w:szCs w:val="32"/>
              </w:rPr>
            </w:pPr>
            <w:r>
              <w:rPr>
                <w:b/>
                <w:sz w:val="32"/>
                <w:szCs w:val="32"/>
              </w:rPr>
              <w:t>5</w:t>
            </w:r>
          </w:p>
        </w:tc>
      </w:tr>
      <w:tr w:rsidR="00A82454" w:rsidTr="00FA183A">
        <w:tc>
          <w:tcPr>
            <w:tcW w:w="7083" w:type="dxa"/>
          </w:tcPr>
          <w:p w:rsidR="00A82454" w:rsidRDefault="00A82454" w:rsidP="00A82454">
            <w:pPr>
              <w:pStyle w:val="NormalWeb"/>
              <w:rPr>
                <w:b/>
                <w:sz w:val="32"/>
                <w:szCs w:val="32"/>
              </w:rPr>
            </w:pPr>
            <w:r>
              <w:rPr>
                <w:b/>
                <w:sz w:val="32"/>
                <w:szCs w:val="32"/>
              </w:rPr>
              <w:t>Chapter 3: Research Methodology</w:t>
            </w:r>
          </w:p>
        </w:tc>
        <w:tc>
          <w:tcPr>
            <w:tcW w:w="1933" w:type="dxa"/>
          </w:tcPr>
          <w:p w:rsidR="00A82454" w:rsidRDefault="00503BCC" w:rsidP="00503BCC">
            <w:pPr>
              <w:pStyle w:val="NormalWeb"/>
              <w:jc w:val="right"/>
              <w:rPr>
                <w:b/>
                <w:sz w:val="32"/>
                <w:szCs w:val="32"/>
              </w:rPr>
            </w:pPr>
            <w:r>
              <w:rPr>
                <w:b/>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Pr>
                <w:sz w:val="32"/>
                <w:szCs w:val="32"/>
              </w:rPr>
              <w:t>3.1 Research Design</w:t>
            </w:r>
          </w:p>
        </w:tc>
        <w:tc>
          <w:tcPr>
            <w:tcW w:w="1933" w:type="dxa"/>
          </w:tcPr>
          <w:p w:rsidR="00A82454" w:rsidRPr="00503BCC" w:rsidRDefault="00503BCC" w:rsidP="00503BCC">
            <w:pPr>
              <w:pStyle w:val="NormalWeb"/>
              <w:jc w:val="right"/>
              <w:rPr>
                <w:sz w:val="32"/>
                <w:szCs w:val="32"/>
              </w:rPr>
            </w:pPr>
            <w:r>
              <w:rPr>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Pr>
                <w:sz w:val="32"/>
                <w:szCs w:val="32"/>
              </w:rPr>
              <w:t>3.2 Sources of Data</w:t>
            </w:r>
          </w:p>
        </w:tc>
        <w:tc>
          <w:tcPr>
            <w:tcW w:w="1933" w:type="dxa"/>
          </w:tcPr>
          <w:p w:rsidR="00A82454" w:rsidRPr="00503BCC" w:rsidRDefault="00503BCC" w:rsidP="00503BCC">
            <w:pPr>
              <w:pStyle w:val="NormalWeb"/>
              <w:jc w:val="right"/>
              <w:rPr>
                <w:sz w:val="32"/>
                <w:szCs w:val="32"/>
              </w:rPr>
            </w:pPr>
            <w:r>
              <w:rPr>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Pr>
                <w:sz w:val="32"/>
                <w:szCs w:val="32"/>
              </w:rPr>
              <w:t>3.3 Period of Study</w:t>
            </w:r>
          </w:p>
        </w:tc>
        <w:tc>
          <w:tcPr>
            <w:tcW w:w="1933" w:type="dxa"/>
          </w:tcPr>
          <w:p w:rsidR="00A82454" w:rsidRPr="00503BCC" w:rsidRDefault="00503BCC" w:rsidP="00503BCC">
            <w:pPr>
              <w:pStyle w:val="NormalWeb"/>
              <w:jc w:val="right"/>
              <w:rPr>
                <w:sz w:val="32"/>
                <w:szCs w:val="32"/>
              </w:rPr>
            </w:pPr>
            <w:r>
              <w:rPr>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3.4 Sample Selection</w:t>
            </w:r>
          </w:p>
        </w:tc>
        <w:tc>
          <w:tcPr>
            <w:tcW w:w="1933" w:type="dxa"/>
          </w:tcPr>
          <w:p w:rsidR="00A82454" w:rsidRPr="00503BCC" w:rsidRDefault="00503BCC" w:rsidP="00503BCC">
            <w:pPr>
              <w:pStyle w:val="NormalWeb"/>
              <w:jc w:val="right"/>
              <w:rPr>
                <w:sz w:val="32"/>
                <w:szCs w:val="32"/>
              </w:rPr>
            </w:pPr>
            <w:r>
              <w:rPr>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3.5 Parameters Used for Analysis</w:t>
            </w:r>
          </w:p>
        </w:tc>
        <w:tc>
          <w:tcPr>
            <w:tcW w:w="1933" w:type="dxa"/>
          </w:tcPr>
          <w:p w:rsidR="00A82454" w:rsidRPr="00503BCC" w:rsidRDefault="00503BCC" w:rsidP="00503BCC">
            <w:pPr>
              <w:pStyle w:val="NormalWeb"/>
              <w:jc w:val="right"/>
              <w:rPr>
                <w:sz w:val="32"/>
                <w:szCs w:val="32"/>
              </w:rPr>
            </w:pPr>
            <w:r>
              <w:rPr>
                <w:sz w:val="32"/>
                <w:szCs w:val="32"/>
              </w:rPr>
              <w:t>6</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3.6 Tools Used for Analysis</w:t>
            </w:r>
          </w:p>
        </w:tc>
        <w:tc>
          <w:tcPr>
            <w:tcW w:w="1933" w:type="dxa"/>
          </w:tcPr>
          <w:p w:rsidR="00A82454" w:rsidRPr="00503BCC" w:rsidRDefault="00503BCC" w:rsidP="00503BCC">
            <w:pPr>
              <w:pStyle w:val="NormalWeb"/>
              <w:jc w:val="right"/>
              <w:rPr>
                <w:sz w:val="32"/>
                <w:szCs w:val="32"/>
              </w:rPr>
            </w:pPr>
            <w:r>
              <w:rPr>
                <w:sz w:val="32"/>
                <w:szCs w:val="32"/>
              </w:rPr>
              <w:t>7</w:t>
            </w:r>
          </w:p>
        </w:tc>
      </w:tr>
      <w:tr w:rsidR="00A82454" w:rsidTr="00FA183A">
        <w:trPr>
          <w:trHeight w:val="603"/>
        </w:trPr>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3.7 Limitations of the Study</w:t>
            </w:r>
          </w:p>
        </w:tc>
        <w:tc>
          <w:tcPr>
            <w:tcW w:w="1933" w:type="dxa"/>
          </w:tcPr>
          <w:p w:rsidR="00A82454" w:rsidRPr="00503BCC" w:rsidRDefault="00503BCC" w:rsidP="00503BCC">
            <w:pPr>
              <w:pStyle w:val="NormalWeb"/>
              <w:jc w:val="right"/>
              <w:rPr>
                <w:sz w:val="32"/>
                <w:szCs w:val="32"/>
              </w:rPr>
            </w:pPr>
            <w:r>
              <w:rPr>
                <w:sz w:val="32"/>
                <w:szCs w:val="32"/>
              </w:rPr>
              <w:t>7</w:t>
            </w:r>
          </w:p>
        </w:tc>
      </w:tr>
      <w:tr w:rsidR="00A82454" w:rsidTr="00FA183A">
        <w:tc>
          <w:tcPr>
            <w:tcW w:w="7083" w:type="dxa"/>
          </w:tcPr>
          <w:p w:rsidR="00A82454" w:rsidRDefault="00A82454" w:rsidP="00A82454">
            <w:pPr>
              <w:pStyle w:val="NormalWeb"/>
              <w:rPr>
                <w:b/>
                <w:sz w:val="32"/>
                <w:szCs w:val="32"/>
              </w:rPr>
            </w:pPr>
            <w:r>
              <w:rPr>
                <w:b/>
                <w:sz w:val="32"/>
                <w:szCs w:val="32"/>
              </w:rPr>
              <w:t>Chapter 4: Data Analysis and Interpretation</w:t>
            </w:r>
          </w:p>
        </w:tc>
        <w:tc>
          <w:tcPr>
            <w:tcW w:w="1933" w:type="dxa"/>
          </w:tcPr>
          <w:p w:rsidR="00A82454" w:rsidRDefault="00503BCC" w:rsidP="00503BCC">
            <w:pPr>
              <w:pStyle w:val="NormalWeb"/>
              <w:jc w:val="right"/>
              <w:rPr>
                <w:b/>
                <w:sz w:val="32"/>
                <w:szCs w:val="32"/>
              </w:rPr>
            </w:pPr>
            <w:r>
              <w:rPr>
                <w:b/>
                <w:sz w:val="32"/>
                <w:szCs w:val="32"/>
              </w:rPr>
              <w:t>8</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4.1 Net Profit Analysis</w:t>
            </w:r>
          </w:p>
        </w:tc>
        <w:tc>
          <w:tcPr>
            <w:tcW w:w="1933" w:type="dxa"/>
          </w:tcPr>
          <w:p w:rsidR="00A82454" w:rsidRPr="00503BCC" w:rsidRDefault="00503BCC" w:rsidP="00503BCC">
            <w:pPr>
              <w:pStyle w:val="NormalWeb"/>
              <w:jc w:val="right"/>
              <w:rPr>
                <w:sz w:val="32"/>
                <w:szCs w:val="32"/>
              </w:rPr>
            </w:pPr>
            <w:r>
              <w:rPr>
                <w:sz w:val="32"/>
                <w:szCs w:val="32"/>
              </w:rPr>
              <w:t>8</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4.2 Gross NPA Analysis</w:t>
            </w:r>
          </w:p>
        </w:tc>
        <w:tc>
          <w:tcPr>
            <w:tcW w:w="1933" w:type="dxa"/>
          </w:tcPr>
          <w:p w:rsidR="00A82454" w:rsidRPr="00503BCC" w:rsidRDefault="00503BCC" w:rsidP="00503BCC">
            <w:pPr>
              <w:pStyle w:val="NormalWeb"/>
              <w:jc w:val="right"/>
              <w:rPr>
                <w:sz w:val="32"/>
                <w:szCs w:val="32"/>
              </w:rPr>
            </w:pPr>
            <w:r>
              <w:rPr>
                <w:sz w:val="32"/>
                <w:szCs w:val="32"/>
              </w:rPr>
              <w:t>9</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4.3 Net NPA Analysis</w:t>
            </w:r>
          </w:p>
        </w:tc>
        <w:tc>
          <w:tcPr>
            <w:tcW w:w="1933" w:type="dxa"/>
          </w:tcPr>
          <w:p w:rsidR="00A82454" w:rsidRPr="00503BCC" w:rsidRDefault="00503BCC" w:rsidP="00503BCC">
            <w:pPr>
              <w:pStyle w:val="NormalWeb"/>
              <w:jc w:val="right"/>
              <w:rPr>
                <w:sz w:val="32"/>
                <w:szCs w:val="32"/>
              </w:rPr>
            </w:pPr>
            <w:r>
              <w:rPr>
                <w:sz w:val="32"/>
                <w:szCs w:val="32"/>
              </w:rPr>
              <w:t>10</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4.4 ROE Analysis</w:t>
            </w:r>
          </w:p>
        </w:tc>
        <w:tc>
          <w:tcPr>
            <w:tcW w:w="1933" w:type="dxa"/>
          </w:tcPr>
          <w:p w:rsidR="00A82454" w:rsidRPr="00503BCC" w:rsidRDefault="00503BCC" w:rsidP="00503BCC">
            <w:pPr>
              <w:pStyle w:val="NormalWeb"/>
              <w:jc w:val="right"/>
              <w:rPr>
                <w:sz w:val="32"/>
                <w:szCs w:val="32"/>
              </w:rPr>
            </w:pPr>
            <w:r>
              <w:rPr>
                <w:sz w:val="32"/>
                <w:szCs w:val="32"/>
              </w:rPr>
              <w:t>11</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4.5 ROA Analysis</w:t>
            </w:r>
          </w:p>
        </w:tc>
        <w:tc>
          <w:tcPr>
            <w:tcW w:w="1933" w:type="dxa"/>
          </w:tcPr>
          <w:p w:rsidR="00A82454" w:rsidRPr="00503BCC" w:rsidRDefault="00503BCC" w:rsidP="00503BCC">
            <w:pPr>
              <w:pStyle w:val="NormalWeb"/>
              <w:jc w:val="right"/>
              <w:rPr>
                <w:sz w:val="32"/>
                <w:szCs w:val="32"/>
              </w:rPr>
            </w:pPr>
            <w:r>
              <w:rPr>
                <w:sz w:val="32"/>
                <w:szCs w:val="32"/>
              </w:rPr>
              <w:t>12</w:t>
            </w:r>
          </w:p>
        </w:tc>
      </w:tr>
      <w:tr w:rsidR="00A82454" w:rsidTr="00FA183A">
        <w:trPr>
          <w:trHeight w:val="559"/>
        </w:trPr>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4.6 EPS Analysis</w:t>
            </w:r>
          </w:p>
        </w:tc>
        <w:tc>
          <w:tcPr>
            <w:tcW w:w="1933" w:type="dxa"/>
          </w:tcPr>
          <w:p w:rsidR="00A82454" w:rsidRPr="00503BCC" w:rsidRDefault="00503BCC" w:rsidP="00503BCC">
            <w:pPr>
              <w:pStyle w:val="NormalWeb"/>
              <w:jc w:val="right"/>
              <w:rPr>
                <w:sz w:val="32"/>
                <w:szCs w:val="32"/>
              </w:rPr>
            </w:pPr>
            <w:r>
              <w:rPr>
                <w:sz w:val="32"/>
                <w:szCs w:val="32"/>
              </w:rPr>
              <w:t>13</w:t>
            </w:r>
          </w:p>
        </w:tc>
      </w:tr>
      <w:tr w:rsidR="00A82454" w:rsidTr="00FA183A">
        <w:trPr>
          <w:trHeight w:val="567"/>
        </w:trPr>
        <w:tc>
          <w:tcPr>
            <w:tcW w:w="7083" w:type="dxa"/>
          </w:tcPr>
          <w:p w:rsidR="00A82454" w:rsidRDefault="00A82454" w:rsidP="00A82454">
            <w:pPr>
              <w:pStyle w:val="NormalWeb"/>
              <w:rPr>
                <w:b/>
                <w:sz w:val="32"/>
                <w:szCs w:val="32"/>
              </w:rPr>
            </w:pPr>
            <w:r>
              <w:rPr>
                <w:b/>
                <w:sz w:val="32"/>
                <w:szCs w:val="32"/>
              </w:rPr>
              <w:t>Chapter 5: Findings</w:t>
            </w:r>
          </w:p>
        </w:tc>
        <w:tc>
          <w:tcPr>
            <w:tcW w:w="1933" w:type="dxa"/>
          </w:tcPr>
          <w:p w:rsidR="00A82454" w:rsidRDefault="00503BCC" w:rsidP="00503BCC">
            <w:pPr>
              <w:pStyle w:val="NormalWeb"/>
              <w:jc w:val="right"/>
              <w:rPr>
                <w:b/>
                <w:sz w:val="32"/>
                <w:szCs w:val="32"/>
              </w:rPr>
            </w:pPr>
            <w:r>
              <w:rPr>
                <w:b/>
                <w:sz w:val="32"/>
                <w:szCs w:val="32"/>
              </w:rPr>
              <w:t>14</w:t>
            </w:r>
          </w:p>
        </w:tc>
      </w:tr>
      <w:tr w:rsidR="00A82454" w:rsidTr="00FA183A">
        <w:tc>
          <w:tcPr>
            <w:tcW w:w="7083" w:type="dxa"/>
          </w:tcPr>
          <w:p w:rsidR="00A82454" w:rsidRDefault="00A82454" w:rsidP="00A82454">
            <w:pPr>
              <w:pStyle w:val="NormalWeb"/>
              <w:rPr>
                <w:b/>
                <w:sz w:val="32"/>
                <w:szCs w:val="32"/>
              </w:rPr>
            </w:pPr>
            <w:r>
              <w:rPr>
                <w:b/>
                <w:sz w:val="32"/>
                <w:szCs w:val="32"/>
              </w:rPr>
              <w:t>Chapter 6: Conclusion and Suggestions</w:t>
            </w:r>
          </w:p>
        </w:tc>
        <w:tc>
          <w:tcPr>
            <w:tcW w:w="1933" w:type="dxa"/>
          </w:tcPr>
          <w:p w:rsidR="00A82454" w:rsidRDefault="00503BCC" w:rsidP="00503BCC">
            <w:pPr>
              <w:pStyle w:val="NormalWeb"/>
              <w:jc w:val="right"/>
              <w:rPr>
                <w:b/>
                <w:sz w:val="32"/>
                <w:szCs w:val="32"/>
              </w:rPr>
            </w:pPr>
            <w:r>
              <w:rPr>
                <w:b/>
                <w:sz w:val="32"/>
                <w:szCs w:val="32"/>
              </w:rPr>
              <w:t>15</w:t>
            </w:r>
          </w:p>
        </w:tc>
      </w:tr>
      <w:tr w:rsidR="00A82454" w:rsidTr="00FA183A">
        <w:tc>
          <w:tcPr>
            <w:tcW w:w="7083" w:type="dxa"/>
          </w:tcPr>
          <w:p w:rsidR="00A82454" w:rsidRPr="00A82454" w:rsidRDefault="00FA183A" w:rsidP="00A82454">
            <w:pPr>
              <w:pStyle w:val="NormalWeb"/>
              <w:rPr>
                <w:sz w:val="32"/>
                <w:szCs w:val="32"/>
              </w:rPr>
            </w:pPr>
            <w:r>
              <w:rPr>
                <w:sz w:val="32"/>
                <w:szCs w:val="32"/>
              </w:rPr>
              <w:t xml:space="preserve">          </w:t>
            </w:r>
            <w:r w:rsidR="00A82454">
              <w:rPr>
                <w:sz w:val="32"/>
                <w:szCs w:val="32"/>
              </w:rPr>
              <w:t>6.1 Conclusion</w:t>
            </w:r>
          </w:p>
        </w:tc>
        <w:tc>
          <w:tcPr>
            <w:tcW w:w="1933" w:type="dxa"/>
          </w:tcPr>
          <w:p w:rsidR="00A82454" w:rsidRPr="00503BCC" w:rsidRDefault="00503BCC" w:rsidP="00503BCC">
            <w:pPr>
              <w:pStyle w:val="NormalWeb"/>
              <w:jc w:val="right"/>
              <w:rPr>
                <w:sz w:val="32"/>
                <w:szCs w:val="32"/>
              </w:rPr>
            </w:pPr>
            <w:r>
              <w:rPr>
                <w:sz w:val="32"/>
                <w:szCs w:val="32"/>
              </w:rPr>
              <w:t>15</w:t>
            </w:r>
          </w:p>
        </w:tc>
      </w:tr>
      <w:tr w:rsidR="00A82454" w:rsidTr="00FA183A">
        <w:trPr>
          <w:trHeight w:val="656"/>
        </w:trPr>
        <w:tc>
          <w:tcPr>
            <w:tcW w:w="7083" w:type="dxa"/>
          </w:tcPr>
          <w:p w:rsidR="00A82454" w:rsidRPr="00A82454" w:rsidRDefault="00FA183A" w:rsidP="00A82454">
            <w:pPr>
              <w:pStyle w:val="NormalWeb"/>
              <w:rPr>
                <w:sz w:val="32"/>
                <w:szCs w:val="32"/>
              </w:rPr>
            </w:pPr>
            <w:r>
              <w:rPr>
                <w:sz w:val="32"/>
                <w:szCs w:val="32"/>
              </w:rPr>
              <w:t xml:space="preserve">          </w:t>
            </w:r>
            <w:r w:rsidR="00A82454" w:rsidRPr="00A82454">
              <w:rPr>
                <w:sz w:val="32"/>
                <w:szCs w:val="32"/>
              </w:rPr>
              <w:t>6.2 Suggestions</w:t>
            </w:r>
          </w:p>
        </w:tc>
        <w:tc>
          <w:tcPr>
            <w:tcW w:w="1933" w:type="dxa"/>
          </w:tcPr>
          <w:p w:rsidR="00A82454" w:rsidRPr="00503BCC" w:rsidRDefault="00503BCC" w:rsidP="00503BCC">
            <w:pPr>
              <w:pStyle w:val="NormalWeb"/>
              <w:jc w:val="right"/>
              <w:rPr>
                <w:sz w:val="32"/>
                <w:szCs w:val="32"/>
              </w:rPr>
            </w:pPr>
            <w:r>
              <w:rPr>
                <w:sz w:val="32"/>
                <w:szCs w:val="32"/>
              </w:rPr>
              <w:t>15</w:t>
            </w:r>
          </w:p>
        </w:tc>
      </w:tr>
      <w:tr w:rsidR="00A82454" w:rsidTr="00FA183A">
        <w:tc>
          <w:tcPr>
            <w:tcW w:w="7083" w:type="dxa"/>
          </w:tcPr>
          <w:p w:rsidR="00A82454" w:rsidRDefault="00A82454" w:rsidP="00A82454">
            <w:pPr>
              <w:pStyle w:val="NormalWeb"/>
              <w:rPr>
                <w:b/>
                <w:sz w:val="32"/>
                <w:szCs w:val="32"/>
              </w:rPr>
            </w:pPr>
            <w:r>
              <w:rPr>
                <w:b/>
                <w:sz w:val="32"/>
                <w:szCs w:val="32"/>
              </w:rPr>
              <w:t>References</w:t>
            </w:r>
          </w:p>
        </w:tc>
        <w:tc>
          <w:tcPr>
            <w:tcW w:w="1933" w:type="dxa"/>
          </w:tcPr>
          <w:p w:rsidR="00A82454" w:rsidRDefault="00503BCC" w:rsidP="00503BCC">
            <w:pPr>
              <w:pStyle w:val="NormalWeb"/>
              <w:jc w:val="right"/>
              <w:rPr>
                <w:b/>
                <w:sz w:val="32"/>
                <w:szCs w:val="32"/>
              </w:rPr>
            </w:pPr>
            <w:r>
              <w:rPr>
                <w:b/>
                <w:sz w:val="32"/>
                <w:szCs w:val="32"/>
              </w:rPr>
              <w:t>17</w:t>
            </w:r>
          </w:p>
        </w:tc>
      </w:tr>
    </w:tbl>
    <w:p w:rsidR="00A82454" w:rsidRPr="00A82454" w:rsidRDefault="00A82454" w:rsidP="00842E4E">
      <w:pPr>
        <w:pStyle w:val="NormalWeb"/>
        <w:jc w:val="center"/>
        <w:rPr>
          <w:b/>
          <w:sz w:val="32"/>
          <w:szCs w:val="32"/>
        </w:rPr>
      </w:pPr>
    </w:p>
    <w:p w:rsidR="00A53FC0" w:rsidRDefault="00A53FC0" w:rsidP="00503BCC">
      <w:pPr>
        <w:rPr>
          <w:rFonts w:ascii="Times New Roman" w:hAnsi="Times New Roman" w:cs="Times New Roman"/>
          <w:sz w:val="24"/>
          <w:szCs w:val="28"/>
        </w:rPr>
      </w:pPr>
    </w:p>
    <w:p w:rsidR="00503BCC" w:rsidRDefault="00503BCC" w:rsidP="00C16BA4">
      <w:pPr>
        <w:spacing w:line="240" w:lineRule="auto"/>
        <w:jc w:val="center"/>
        <w:rPr>
          <w:rFonts w:ascii="Times New Roman" w:hAnsi="Times New Roman" w:cs="Times New Roman"/>
          <w:b/>
          <w:sz w:val="40"/>
          <w:szCs w:val="40"/>
        </w:rPr>
      </w:pPr>
    </w:p>
    <w:p w:rsidR="00503BCC" w:rsidRDefault="00503BCC" w:rsidP="00C16BA4">
      <w:pPr>
        <w:spacing w:line="240" w:lineRule="auto"/>
        <w:jc w:val="center"/>
        <w:rPr>
          <w:rFonts w:ascii="Times New Roman" w:hAnsi="Times New Roman" w:cs="Times New Roman"/>
          <w:b/>
          <w:sz w:val="40"/>
          <w:szCs w:val="40"/>
        </w:rPr>
      </w:pPr>
    </w:p>
    <w:p w:rsidR="00923742" w:rsidRDefault="009F07F5" w:rsidP="00C16BA4">
      <w:pPr>
        <w:spacing w:line="240" w:lineRule="auto"/>
        <w:jc w:val="center"/>
        <w:rPr>
          <w:rFonts w:ascii="Times New Roman" w:hAnsi="Times New Roman" w:cs="Times New Roman"/>
          <w:b/>
          <w:sz w:val="40"/>
          <w:szCs w:val="40"/>
        </w:rPr>
      </w:pPr>
      <w:r>
        <w:rPr>
          <w:rFonts w:ascii="Times New Roman" w:hAnsi="Times New Roman" w:cs="Times New Roman"/>
          <w:b/>
          <w:sz w:val="40"/>
          <w:szCs w:val="40"/>
        </w:rPr>
        <w:t>ACKNOWLEDGEMENT</w:t>
      </w:r>
    </w:p>
    <w:p w:rsidR="009F07F5" w:rsidRPr="009F07F5" w:rsidRDefault="009F07F5" w:rsidP="009F07F5">
      <w:pPr>
        <w:spacing w:after="0" w:line="240" w:lineRule="auto"/>
        <w:rPr>
          <w:rFonts w:ascii="Times New Roman" w:eastAsia="Times New Roman" w:hAnsi="Times New Roman" w:cs="Times New Roman"/>
          <w:sz w:val="24"/>
          <w:szCs w:val="24"/>
          <w:lang w:eastAsia="en-IN"/>
        </w:rPr>
      </w:pPr>
    </w:p>
    <w:p w:rsidR="007E729E" w:rsidRPr="002D0AEE" w:rsidRDefault="009F07F5" w:rsidP="0030238A">
      <w:pPr>
        <w:spacing w:before="100" w:beforeAutospacing="1" w:after="100" w:afterAutospacing="1" w:line="360" w:lineRule="auto"/>
        <w:rPr>
          <w:rFonts w:ascii="Times New Roman" w:eastAsia="Times New Roman" w:hAnsi="Times New Roman" w:cs="Times New Roman"/>
          <w:sz w:val="24"/>
          <w:szCs w:val="24"/>
          <w:lang w:eastAsia="en-IN"/>
        </w:rPr>
      </w:pPr>
      <w:r w:rsidRPr="009F07F5">
        <w:rPr>
          <w:rFonts w:ascii="Times New Roman" w:eastAsia="Times New Roman" w:hAnsi="Times New Roman" w:cs="Times New Roman"/>
          <w:sz w:val="24"/>
          <w:szCs w:val="24"/>
          <w:lang w:eastAsia="en-IN"/>
        </w:rPr>
        <w:t xml:space="preserve">I want to sincerely thank everyone who helped, directly or indirectly, with my research project titled “Comparative Financial Statement Analysis of Leading Indian Banks: A Study of SBI, HDFC Bank and ICICI Bank (FY2020–21 to FY2024–25).” </w:t>
      </w:r>
    </w:p>
    <w:p w:rsidR="007E729E" w:rsidRPr="002D0AEE" w:rsidRDefault="009F07F5" w:rsidP="0030238A">
      <w:pPr>
        <w:spacing w:before="100" w:beforeAutospacing="1" w:after="100" w:afterAutospacing="1" w:line="360" w:lineRule="auto"/>
        <w:rPr>
          <w:rFonts w:ascii="Times New Roman" w:eastAsia="Times New Roman" w:hAnsi="Times New Roman" w:cs="Times New Roman"/>
          <w:sz w:val="24"/>
          <w:szCs w:val="24"/>
          <w:lang w:eastAsia="en-IN"/>
        </w:rPr>
      </w:pPr>
      <w:r w:rsidRPr="009F07F5">
        <w:rPr>
          <w:rFonts w:ascii="Times New Roman" w:eastAsia="Times New Roman" w:hAnsi="Times New Roman" w:cs="Times New Roman"/>
          <w:sz w:val="24"/>
          <w:szCs w:val="24"/>
          <w:lang w:eastAsia="en-IN"/>
        </w:rPr>
        <w:t>This project helped me better understand how to analyse financial statements, compare bank performance, and use important ratios like Return on Equity (ROE), Return on Assets (ROA), Earnings per Share (EPS), Gross Non</w:t>
      </w:r>
      <w:r w:rsidRPr="009F07F5">
        <w:rPr>
          <w:rFonts w:ascii="Times New Roman" w:eastAsia="Times New Roman" w:hAnsi="Times New Roman" w:cs="Times New Roman"/>
          <w:sz w:val="24"/>
          <w:szCs w:val="24"/>
          <w:lang w:eastAsia="en-IN"/>
        </w:rPr>
        <w:noBreakHyphen/>
        <w:t>Performing Assets (GNPA), and Net Non</w:t>
      </w:r>
      <w:r w:rsidRPr="009F07F5">
        <w:rPr>
          <w:rFonts w:ascii="Times New Roman" w:eastAsia="Times New Roman" w:hAnsi="Times New Roman" w:cs="Times New Roman"/>
          <w:sz w:val="24"/>
          <w:szCs w:val="24"/>
          <w:lang w:eastAsia="en-IN"/>
        </w:rPr>
        <w:noBreakHyphen/>
        <w:t>Performing Assets (NNPA).</w:t>
      </w:r>
    </w:p>
    <w:p w:rsidR="007E729E" w:rsidRPr="002D0AEE" w:rsidRDefault="009F07F5" w:rsidP="0030238A">
      <w:pPr>
        <w:spacing w:before="100" w:beforeAutospacing="1" w:after="100" w:afterAutospacing="1" w:line="360" w:lineRule="auto"/>
        <w:rPr>
          <w:rFonts w:ascii="Times New Roman" w:eastAsia="Times New Roman" w:hAnsi="Times New Roman" w:cs="Times New Roman"/>
          <w:sz w:val="24"/>
          <w:szCs w:val="24"/>
          <w:lang w:eastAsia="en-IN"/>
        </w:rPr>
      </w:pPr>
      <w:r w:rsidRPr="009F07F5">
        <w:rPr>
          <w:rFonts w:ascii="Times New Roman" w:eastAsia="Times New Roman" w:hAnsi="Times New Roman" w:cs="Times New Roman"/>
          <w:sz w:val="24"/>
          <w:szCs w:val="24"/>
          <w:lang w:eastAsia="en-IN"/>
        </w:rPr>
        <w:t xml:space="preserve"> I am thankful to the State Bank of India, HDFC Bank, and ICICI Bank for publishing their annual reports, which were the main sources of data for my study. I also appreciate the books, articles, and online resources that supported my learning during this project. </w:t>
      </w:r>
    </w:p>
    <w:p w:rsidR="009F07F5" w:rsidRPr="002D0AEE" w:rsidRDefault="007E729E" w:rsidP="0030238A">
      <w:pPr>
        <w:spacing w:line="360" w:lineRule="auto"/>
        <w:rPr>
          <w:rFonts w:ascii="Times New Roman" w:eastAsia="Times New Roman" w:hAnsi="Times New Roman" w:cs="Times New Roman"/>
          <w:b/>
          <w:bCs/>
          <w:sz w:val="24"/>
          <w:szCs w:val="24"/>
          <w:lang w:eastAsia="en-IN"/>
        </w:rPr>
      </w:pPr>
      <w:r w:rsidRPr="002D0AEE">
        <w:rPr>
          <w:rFonts w:ascii="Times New Roman" w:hAnsi="Times New Roman" w:cs="Times New Roman"/>
          <w:color w:val="27251E"/>
          <w:sz w:val="24"/>
          <w:szCs w:val="24"/>
        </w:rPr>
        <w:t>Finally, I am very grateful to my parents and family members for their constant and unwavering encouragement and support throughout this work. This project has increased my interest in accounting, finance, and banking and helped me gain insight into these topics, which will be very helpful for my future studies and job prospects.</w:t>
      </w:r>
    </w:p>
    <w:p w:rsidR="009F07F5" w:rsidRDefault="009F07F5" w:rsidP="009F07F5">
      <w:pPr>
        <w:spacing w:line="240" w:lineRule="auto"/>
        <w:jc w:val="right"/>
        <w:rPr>
          <w:rFonts w:ascii="Times New Roman" w:eastAsia="Times New Roman" w:hAnsi="Times New Roman" w:cs="Times New Roman"/>
          <w:b/>
          <w:bCs/>
          <w:sz w:val="24"/>
          <w:szCs w:val="24"/>
          <w:lang w:eastAsia="en-IN"/>
        </w:rPr>
      </w:pPr>
    </w:p>
    <w:p w:rsidR="0030238A" w:rsidRPr="009F07F5" w:rsidRDefault="0030238A" w:rsidP="009F07F5">
      <w:pPr>
        <w:spacing w:line="240" w:lineRule="auto"/>
        <w:jc w:val="right"/>
        <w:rPr>
          <w:rFonts w:ascii="Times New Roman" w:eastAsia="Times New Roman" w:hAnsi="Times New Roman" w:cs="Times New Roman"/>
          <w:b/>
          <w:bCs/>
          <w:sz w:val="24"/>
          <w:szCs w:val="24"/>
          <w:lang w:eastAsia="en-IN"/>
        </w:rPr>
      </w:pPr>
    </w:p>
    <w:p w:rsidR="009F07F5" w:rsidRPr="009F07F5" w:rsidRDefault="009F07F5" w:rsidP="009F07F5">
      <w:pPr>
        <w:spacing w:line="240" w:lineRule="auto"/>
        <w:jc w:val="right"/>
        <w:rPr>
          <w:rFonts w:ascii="Times New Roman" w:eastAsia="Times New Roman" w:hAnsi="Times New Roman" w:cs="Times New Roman"/>
          <w:b/>
          <w:bCs/>
          <w:sz w:val="24"/>
          <w:szCs w:val="24"/>
          <w:lang w:eastAsia="en-IN"/>
        </w:rPr>
      </w:pPr>
      <w:r w:rsidRPr="009F07F5">
        <w:rPr>
          <w:rFonts w:ascii="Times New Roman" w:eastAsia="Times New Roman" w:hAnsi="Times New Roman" w:cs="Times New Roman"/>
          <w:b/>
          <w:bCs/>
          <w:sz w:val="24"/>
          <w:szCs w:val="24"/>
          <w:lang w:eastAsia="en-IN"/>
        </w:rPr>
        <w:t>ZUBIYA KHANUM</w:t>
      </w:r>
    </w:p>
    <w:p w:rsidR="009F07F5" w:rsidRPr="009F07F5" w:rsidRDefault="009F07F5" w:rsidP="009F07F5">
      <w:pPr>
        <w:spacing w:line="240" w:lineRule="auto"/>
        <w:jc w:val="right"/>
        <w:rPr>
          <w:rFonts w:ascii="Times New Roman" w:hAnsi="Times New Roman" w:cs="Times New Roman"/>
          <w:b/>
          <w:sz w:val="40"/>
          <w:szCs w:val="40"/>
        </w:rPr>
      </w:pPr>
      <w:r w:rsidRPr="009F07F5">
        <w:rPr>
          <w:rFonts w:ascii="Times New Roman" w:eastAsia="Times New Roman" w:hAnsi="Times New Roman" w:cs="Times New Roman"/>
          <w:b/>
          <w:bCs/>
          <w:sz w:val="24"/>
          <w:szCs w:val="24"/>
          <w:lang w:eastAsia="en-IN"/>
        </w:rPr>
        <w:t>June 2026</w:t>
      </w:r>
    </w:p>
    <w:p w:rsidR="009F07F5" w:rsidRPr="00923742" w:rsidRDefault="009F07F5" w:rsidP="009F07F5">
      <w:pPr>
        <w:spacing w:line="240" w:lineRule="auto"/>
        <w:jc w:val="center"/>
        <w:rPr>
          <w:rFonts w:ascii="Times New Roman" w:hAnsi="Times New Roman" w:cs="Times New Roman"/>
          <w:b/>
          <w:sz w:val="28"/>
          <w:szCs w:val="28"/>
        </w:rPr>
      </w:pPr>
    </w:p>
    <w:p w:rsidR="00923742" w:rsidRPr="00923742" w:rsidRDefault="00923742" w:rsidP="00923742">
      <w:pPr>
        <w:rPr>
          <w:rFonts w:ascii="Times New Roman" w:hAnsi="Times New Roman" w:cs="Times New Roman"/>
          <w:b/>
          <w:sz w:val="28"/>
          <w:szCs w:val="28"/>
        </w:rPr>
      </w:pPr>
    </w:p>
    <w:p w:rsidR="00F44E7B" w:rsidRDefault="00F44E7B" w:rsidP="00C16BA4">
      <w:pPr>
        <w:pStyle w:val="ListParagraph"/>
        <w:jc w:val="center"/>
        <w:rPr>
          <w:rFonts w:ascii="Times New Roman" w:hAnsi="Times New Roman" w:cs="Times New Roman"/>
          <w:b/>
          <w:sz w:val="28"/>
          <w:szCs w:val="28"/>
        </w:rPr>
      </w:pPr>
    </w:p>
    <w:p w:rsidR="00C16BA4" w:rsidRDefault="00C16BA4" w:rsidP="00C16BA4">
      <w:pPr>
        <w:spacing w:line="480" w:lineRule="auto"/>
        <w:jc w:val="center"/>
        <w:rPr>
          <w:rFonts w:ascii="Times New Roman" w:hAnsi="Times New Roman" w:cs="Times New Roman"/>
          <w:b/>
          <w:sz w:val="40"/>
          <w:szCs w:val="40"/>
        </w:rPr>
      </w:pPr>
    </w:p>
    <w:p w:rsidR="00C16BA4" w:rsidRDefault="00C16BA4" w:rsidP="00C16BA4">
      <w:pPr>
        <w:spacing w:line="480" w:lineRule="auto"/>
        <w:jc w:val="center"/>
        <w:rPr>
          <w:rFonts w:ascii="Times New Roman" w:hAnsi="Times New Roman" w:cs="Times New Roman"/>
          <w:b/>
          <w:sz w:val="40"/>
          <w:szCs w:val="40"/>
        </w:rPr>
      </w:pPr>
    </w:p>
    <w:p w:rsidR="00F44E7B" w:rsidRDefault="009F07F5" w:rsidP="00C16BA4">
      <w:pPr>
        <w:spacing w:line="480" w:lineRule="auto"/>
        <w:jc w:val="center"/>
        <w:rPr>
          <w:rFonts w:ascii="Times New Roman" w:hAnsi="Times New Roman" w:cs="Times New Roman"/>
          <w:b/>
          <w:sz w:val="40"/>
          <w:szCs w:val="40"/>
        </w:rPr>
      </w:pPr>
      <w:r>
        <w:rPr>
          <w:rFonts w:ascii="Times New Roman" w:hAnsi="Times New Roman" w:cs="Times New Roman"/>
          <w:b/>
          <w:sz w:val="40"/>
          <w:szCs w:val="40"/>
        </w:rPr>
        <w:t>ABSTRACT</w:t>
      </w:r>
    </w:p>
    <w:p w:rsidR="007D4F0A" w:rsidRPr="002D0AEE" w:rsidRDefault="007D4F0A" w:rsidP="0030238A">
      <w:pPr>
        <w:pStyle w:val="NormalWeb"/>
        <w:spacing w:line="360" w:lineRule="auto"/>
      </w:pPr>
      <w:r w:rsidRPr="002D0AEE">
        <w:t>This study presents a comparative financial statement analysis of three leading Indian banks—State Bank of India (SBI), HDFC Bank, and ICICI Bank—over a five-year period from FY2020–21 to FY2024–25.</w:t>
      </w:r>
    </w:p>
    <w:p w:rsidR="007D4F0A" w:rsidRPr="002D0AEE" w:rsidRDefault="007D4F0A" w:rsidP="0030238A">
      <w:pPr>
        <w:pStyle w:val="NormalWeb"/>
        <w:spacing w:line="360" w:lineRule="auto"/>
      </w:pPr>
      <w:r w:rsidRPr="002D0AEE">
        <w:t xml:space="preserve">The primary objective of the study is to evaluate and compare the financial performance of these banks using key financial indicators such as Net Profit, Return on Equity (ROE), Return on Assets (ROA), Earnings </w:t>
      </w:r>
      <w:proofErr w:type="gramStart"/>
      <w:r w:rsidRPr="002D0AEE">
        <w:t>Per</w:t>
      </w:r>
      <w:proofErr w:type="gramEnd"/>
      <w:r w:rsidRPr="002D0AEE">
        <w:t xml:space="preserve"> Share (EPS), Gross Non-Performing Assets (Gross NPA), and Net Non-Performing Assets (Net NPA). The research is based entirely on secondary data collected from the published annual reports of the respective banks.</w:t>
      </w:r>
    </w:p>
    <w:p w:rsidR="007D4F0A" w:rsidRPr="002D0AEE" w:rsidRDefault="007D4F0A" w:rsidP="0030238A">
      <w:pPr>
        <w:pStyle w:val="NormalWeb"/>
        <w:spacing w:line="360" w:lineRule="auto"/>
      </w:pPr>
      <w:r w:rsidRPr="002D0AEE">
        <w:t>The analysis shows that all three banks experienced significant growth in profitability and shareholder returns during the study period. SBI reported the largest increase in net profit, while HDFC Bank maintained steady performance and strong asset quality. ICICI Bank recorded significant growth in profitability along with a substantial reduction in non-performing assets. The declining trend in Gross NPA and Net NPA ratios across the banks indicates improvements in asset quality and risk management practices.</w:t>
      </w:r>
    </w:p>
    <w:p w:rsidR="007D4F0A" w:rsidRPr="002D0AEE" w:rsidRDefault="007D4F0A" w:rsidP="0030238A">
      <w:pPr>
        <w:pStyle w:val="NormalWeb"/>
        <w:spacing w:line="360" w:lineRule="auto"/>
      </w:pPr>
      <w:r w:rsidRPr="002D0AEE">
        <w:t>The findings suggest that the Indian banking sector has strengthened considerably over the five-year period, with all three banks demonstrating improved operational efficiency, profitability, and financial stability. This study provides valuable insights into the comparative performance of India’s leading banks and highlights the usefulness of financial statement analysis in evaluating organizational performance and supporting decision-making.</w:t>
      </w:r>
    </w:p>
    <w:p w:rsidR="007D4F0A" w:rsidRPr="002D0AEE" w:rsidRDefault="007D4F0A" w:rsidP="0030238A">
      <w:pPr>
        <w:pStyle w:val="NormalWeb"/>
        <w:spacing w:line="360" w:lineRule="auto"/>
      </w:pPr>
      <w:r w:rsidRPr="002D0AEE">
        <w:t>Keywords: Financial Statement Analysis, Banking Sector, SBI, HDFC Bank, ICICI Bank, ROE, ROA, EPS, Gross NPA, Net NPA.</w:t>
      </w:r>
    </w:p>
    <w:p w:rsidR="002D0AEE" w:rsidRDefault="00C16BA4" w:rsidP="00C16BA4">
      <w:pPr>
        <w:spacing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 </w:t>
      </w:r>
    </w:p>
    <w:p w:rsidR="00C16BA4" w:rsidRDefault="00C16BA4" w:rsidP="00C21C1E">
      <w:pPr>
        <w:spacing w:line="240" w:lineRule="auto"/>
        <w:ind w:left="360"/>
        <w:jc w:val="center"/>
        <w:rPr>
          <w:rFonts w:ascii="Times New Roman" w:hAnsi="Times New Roman" w:cs="Times New Roman"/>
          <w:b/>
          <w:sz w:val="40"/>
          <w:szCs w:val="40"/>
        </w:rPr>
      </w:pPr>
    </w:p>
    <w:p w:rsidR="00C16BA4" w:rsidRDefault="00C16BA4" w:rsidP="00C21C1E">
      <w:pPr>
        <w:spacing w:line="240" w:lineRule="auto"/>
        <w:ind w:left="360"/>
        <w:jc w:val="center"/>
        <w:rPr>
          <w:rFonts w:ascii="Times New Roman" w:hAnsi="Times New Roman" w:cs="Times New Roman"/>
          <w:b/>
          <w:sz w:val="40"/>
          <w:szCs w:val="40"/>
        </w:rPr>
      </w:pPr>
      <w:r>
        <w:rPr>
          <w:rFonts w:ascii="Times New Roman" w:hAnsi="Times New Roman" w:cs="Times New Roman"/>
          <w:b/>
          <w:sz w:val="40"/>
          <w:szCs w:val="40"/>
        </w:rPr>
        <w:lastRenderedPageBreak/>
        <w:t>CHAPTER 1</w:t>
      </w:r>
    </w:p>
    <w:p w:rsidR="002D0AEE" w:rsidRDefault="00C16BA4" w:rsidP="00C21C1E">
      <w:pPr>
        <w:spacing w:line="240" w:lineRule="auto"/>
        <w:ind w:left="360"/>
        <w:jc w:val="center"/>
        <w:rPr>
          <w:rFonts w:ascii="Times New Roman" w:hAnsi="Times New Roman" w:cs="Times New Roman"/>
          <w:b/>
          <w:sz w:val="40"/>
          <w:szCs w:val="40"/>
        </w:rPr>
      </w:pPr>
      <w:r>
        <w:rPr>
          <w:rFonts w:ascii="Times New Roman" w:hAnsi="Times New Roman" w:cs="Times New Roman"/>
          <w:b/>
          <w:noProof/>
          <w:sz w:val="40"/>
          <w:szCs w:val="40"/>
          <w:lang w:eastAsia="en-IN"/>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418509</wp:posOffset>
                </wp:positionV>
                <wp:extent cx="6070600" cy="0"/>
                <wp:effectExtent l="0" t="0" r="25400" b="19050"/>
                <wp:wrapNone/>
                <wp:docPr id="24" name="Straight Connector 24"/>
                <wp:cNvGraphicFramePr/>
                <a:graphic xmlns:a="http://schemas.openxmlformats.org/drawingml/2006/main">
                  <a:graphicData uri="http://schemas.microsoft.com/office/word/2010/wordprocessingShape">
                    <wps:wsp>
                      <wps:cNvCnPr/>
                      <wps:spPr>
                        <a:xfrm>
                          <a:off x="0" y="0"/>
                          <a:ext cx="6070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47E07D" id="Straight Connector 24" o:spid="_x0000_s1026" style="position:absolute;z-index:251692032;visibility:visible;mso-wrap-style:square;mso-wrap-distance-left:9pt;mso-wrap-distance-top:0;mso-wrap-distance-right:9pt;mso-wrap-distance-bottom:0;mso-position-horizontal:center;mso-position-horizontal-relative:margin;mso-position-vertical:absolute;mso-position-vertical-relative:text" from="0,32.95pt" to="478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" strokecolor="black [3200]" strokeweight="1.5pt">
                <v:stroke joinstyle="miter"/>
                <w10:wrap anchorx="margin"/>
              </v:line>
            </w:pict>
          </mc:Fallback>
        </mc:AlternateContent>
      </w:r>
      <w:r w:rsidR="002D0AEE">
        <w:rPr>
          <w:rFonts w:ascii="Times New Roman" w:hAnsi="Times New Roman" w:cs="Times New Roman"/>
          <w:b/>
          <w:sz w:val="40"/>
          <w:szCs w:val="40"/>
        </w:rPr>
        <w:t>INTRODUCTION</w:t>
      </w:r>
    </w:p>
    <w:p w:rsidR="002D0AEE" w:rsidRDefault="002D0AEE" w:rsidP="002D0AEE">
      <w:pPr>
        <w:spacing w:line="240" w:lineRule="auto"/>
        <w:ind w:left="360"/>
        <w:jc w:val="center"/>
        <w:rPr>
          <w:rFonts w:ascii="Times New Roman" w:hAnsi="Times New Roman" w:cs="Times New Roman"/>
          <w:b/>
          <w:sz w:val="40"/>
          <w:szCs w:val="40"/>
        </w:rPr>
      </w:pPr>
    </w:p>
    <w:p w:rsidR="00C21C1E" w:rsidRDefault="0030238A" w:rsidP="00C21C1E">
      <w:pPr>
        <w:pStyle w:val="NormalWeb"/>
        <w:spacing w:before="0" w:beforeAutospacing="0" w:after="0" w:afterAutospacing="0" w:line="360" w:lineRule="auto"/>
      </w:pPr>
      <w:r>
        <w:t>The banking sector is one of the most important pillars of a country’s economy. Banks help people save money, provide loans to individuals and businesses, support investments, and contribute to overall economic growth. They act as a link between those who have surplus funds and those who need financial assistance. Over the years, the Indian banking industry has undergone significant changes due to technological advancements, digital banking services, government reforms, and efforts to increase financial inclusion across the country.</w:t>
      </w:r>
    </w:p>
    <w:p w:rsidR="00C21C1E" w:rsidRDefault="00C21C1E" w:rsidP="00C21C1E">
      <w:pPr>
        <w:pStyle w:val="NormalWeb"/>
        <w:spacing w:before="0" w:beforeAutospacing="0" w:after="0" w:afterAutospacing="0" w:line="360" w:lineRule="auto"/>
      </w:pPr>
    </w:p>
    <w:p w:rsidR="00C21C1E" w:rsidRDefault="0030238A" w:rsidP="00C21C1E">
      <w:pPr>
        <w:pStyle w:val="NormalWeb"/>
        <w:spacing w:before="0" w:beforeAutospacing="0" w:after="0" w:afterAutospacing="0" w:line="360" w:lineRule="auto"/>
      </w:pPr>
      <w:r>
        <w:t>To understand how well a bank is performing, financial statement analysis is widely used. It involves examining a bank’s financial data to assess its profitability, efficiency, asset quality, and overall financial condition. Such analysis helps investors, customers, management, and other stakeholders make informed decisions. It also provides insights into how effectively a bank manages its resources and responds to changing market conditions.</w:t>
      </w:r>
    </w:p>
    <w:p w:rsidR="0030238A" w:rsidRDefault="0030238A" w:rsidP="00C21C1E">
      <w:pPr>
        <w:pStyle w:val="NormalWeb"/>
        <w:spacing w:before="0" w:beforeAutospacing="0" w:after="0" w:afterAutospacing="0" w:line="360" w:lineRule="auto"/>
      </w:pPr>
      <w:r>
        <w:t>This study focuses on three major banks in India: State Bank of India (SBI), HDFC Bank, and ICICI Bank. SBI is the largest public sector bank in the country, while HDFC Bank and ICICI Bank are among the leading private sector banks. These banks have been selected because of their strong presence in the Indian banking industry and their significant contribution to the nation’s financial system.</w:t>
      </w:r>
    </w:p>
    <w:p w:rsidR="0030238A" w:rsidRDefault="0030238A" w:rsidP="00C21C1E">
      <w:pPr>
        <w:pStyle w:val="NormalWeb"/>
        <w:spacing w:before="0" w:beforeAutospacing="0" w:after="0" w:afterAutospacing="0" w:line="360" w:lineRule="auto"/>
      </w:pPr>
      <w:r>
        <w:t xml:space="preserve">The research examines and compares the financial performance of these banks over a five-year period from FY2020–21 to FY2024–25. The comparison is based on important financial indicators such as Net Profit, Earnings </w:t>
      </w:r>
      <w:proofErr w:type="gramStart"/>
      <w:r>
        <w:t>Per</w:t>
      </w:r>
      <w:proofErr w:type="gramEnd"/>
      <w:r>
        <w:t xml:space="preserve"> Share (EPS), Return on Equity (ROE), Return on Assets (ROA), Gross Non-Performing Assets (Gross NPA), and Net Non-Performing Assets (Net NPA). These indicators provide a clear picture of profitability, efficiency, and asset quality.</w:t>
      </w:r>
    </w:p>
    <w:p w:rsidR="002D0AEE" w:rsidRDefault="0030238A" w:rsidP="00C21C1E">
      <w:pPr>
        <w:pStyle w:val="NormalWeb"/>
        <w:spacing w:before="0" w:beforeAutospacing="0" w:after="0" w:afterAutospacing="0" w:line="360" w:lineRule="auto"/>
      </w:pPr>
      <w:r>
        <w:t>The main purpose of this study is to analyse the financial performance of SBI, HDFC Bank, and ICICI Bank and identify trends over the selected period. By comparing these banks using key financial indicators, the study aims to highlight their strengths and areas of improvement. The findings will help in understanding the financial position of these leading banks and demonstrate the importance of financial statement analysis in evaluating business performance and supporting decision-making.</w:t>
      </w:r>
    </w:p>
    <w:p w:rsidR="00C21C1E" w:rsidRDefault="00C21C1E" w:rsidP="003126BD">
      <w:pPr>
        <w:pStyle w:val="NormalWeb"/>
        <w:spacing w:before="0" w:beforeAutospacing="0" w:after="0" w:afterAutospacing="0" w:line="360" w:lineRule="auto"/>
        <w:jc w:val="center"/>
        <w:rPr>
          <w:b/>
          <w:sz w:val="40"/>
        </w:rPr>
      </w:pPr>
      <w:r>
        <w:rPr>
          <w:b/>
          <w:sz w:val="40"/>
        </w:rPr>
        <w:lastRenderedPageBreak/>
        <w:t>CHAPTER 2</w:t>
      </w:r>
    </w:p>
    <w:p w:rsidR="00C21C1E" w:rsidRDefault="00C21C1E" w:rsidP="00C21C1E">
      <w:pPr>
        <w:pStyle w:val="NormalWeb"/>
        <w:spacing w:before="0" w:beforeAutospacing="0" w:after="0" w:afterAutospacing="0" w:line="360" w:lineRule="auto"/>
        <w:jc w:val="center"/>
        <w:rPr>
          <w:b/>
          <w:sz w:val="40"/>
        </w:rPr>
      </w:pPr>
      <w:r>
        <w:rPr>
          <w:b/>
          <w:noProof/>
          <w:sz w:val="40"/>
        </w:rPr>
        <mc:AlternateContent>
          <mc:Choice Requires="wps">
            <w:drawing>
              <wp:anchor distT="0" distB="0" distL="114300" distR="114300" simplePos="0" relativeHeight="251693056" behindDoc="0" locked="0" layoutInCell="1" allowOverlap="1">
                <wp:simplePos x="0" y="0"/>
                <wp:positionH relativeFrom="column">
                  <wp:posOffset>-203200</wp:posOffset>
                </wp:positionH>
                <wp:positionV relativeFrom="paragraph">
                  <wp:posOffset>412750</wp:posOffset>
                </wp:positionV>
                <wp:extent cx="609600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6096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EA393E" id="Straight Connector 2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6pt,32.5pt" to="46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" strokecolor="black [3200]" strokeweight="1.5pt">
                <v:stroke joinstyle="miter"/>
              </v:line>
            </w:pict>
          </mc:Fallback>
        </mc:AlternateContent>
      </w:r>
      <w:r>
        <w:rPr>
          <w:b/>
          <w:sz w:val="40"/>
        </w:rPr>
        <w:t>OBJECTIVES OF THE STUDY</w:t>
      </w:r>
    </w:p>
    <w:p w:rsidR="00C21C1E" w:rsidRPr="00C21C1E" w:rsidRDefault="00C21C1E" w:rsidP="006852D6">
      <w:p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The objectives of this study are:</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 xml:space="preserve">To </w:t>
      </w:r>
      <w:r w:rsidR="006852D6" w:rsidRPr="00C21C1E">
        <w:rPr>
          <w:rFonts w:ascii="Times New Roman" w:eastAsia="Times New Roman" w:hAnsi="Times New Roman" w:cs="Times New Roman"/>
          <w:sz w:val="24"/>
          <w:szCs w:val="24"/>
          <w:lang w:eastAsia="en-IN"/>
        </w:rPr>
        <w:t>analyse</w:t>
      </w:r>
      <w:r w:rsidRPr="00C21C1E">
        <w:rPr>
          <w:rFonts w:ascii="Times New Roman" w:eastAsia="Times New Roman" w:hAnsi="Times New Roman" w:cs="Times New Roman"/>
          <w:sz w:val="24"/>
          <w:szCs w:val="24"/>
          <w:lang w:eastAsia="en-IN"/>
        </w:rPr>
        <w:t xml:space="preserve"> the financial performance of State Bank of India (SBI), HDFC Bank, and ICICI Bank during the period FY2020–21 to FY2024–25.</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 xml:space="preserve">To compare the profitability of the selected banks using Net Profit and Earnings </w:t>
      </w:r>
      <w:proofErr w:type="gramStart"/>
      <w:r w:rsidRPr="00C21C1E">
        <w:rPr>
          <w:rFonts w:ascii="Times New Roman" w:eastAsia="Times New Roman" w:hAnsi="Times New Roman" w:cs="Times New Roman"/>
          <w:sz w:val="24"/>
          <w:szCs w:val="24"/>
          <w:lang w:eastAsia="en-IN"/>
        </w:rPr>
        <w:t>Per</w:t>
      </w:r>
      <w:proofErr w:type="gramEnd"/>
      <w:r w:rsidRPr="00C21C1E">
        <w:rPr>
          <w:rFonts w:ascii="Times New Roman" w:eastAsia="Times New Roman" w:hAnsi="Times New Roman" w:cs="Times New Roman"/>
          <w:sz w:val="24"/>
          <w:szCs w:val="24"/>
          <w:lang w:eastAsia="en-IN"/>
        </w:rPr>
        <w:t xml:space="preserve"> Share (EPS).</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To evaluate the efficiency of the banks through Return on Equity (ROE) and Return on Assets (ROA).</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To assess the asset quality of the selected banks using Gross Non-Performing Assets (Gross NPA) and Net Non-Performing Assets (Net NPA).</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To identify trends and patterns in the financial performance of the selected banks over the study period.</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To compare the overall financial strength and operational performance of public and private sector banks in India.</w:t>
      </w:r>
    </w:p>
    <w:p w:rsidR="00C21C1E" w:rsidRPr="00C21C1E" w:rsidRDefault="00C21C1E" w:rsidP="006852D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21C1E">
        <w:rPr>
          <w:rFonts w:ascii="Times New Roman" w:eastAsia="Times New Roman" w:hAnsi="Times New Roman" w:cs="Times New Roman"/>
          <w:sz w:val="24"/>
          <w:szCs w:val="24"/>
          <w:lang w:eastAsia="en-IN"/>
        </w:rPr>
        <w:t>To understand the usefulness of financial statement analysis in evaluating banking performance and supporting financial decision-making.</w:t>
      </w:r>
    </w:p>
    <w:p w:rsidR="00C21C1E" w:rsidRDefault="00C21C1E"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C21C1E">
      <w:pPr>
        <w:pStyle w:val="NormalWeb"/>
        <w:spacing w:before="0" w:beforeAutospacing="0" w:after="0" w:afterAutospacing="0" w:line="360" w:lineRule="auto"/>
      </w:pPr>
    </w:p>
    <w:p w:rsidR="006852D6" w:rsidRDefault="006852D6" w:rsidP="006852D6">
      <w:pPr>
        <w:pStyle w:val="NormalWeb"/>
        <w:spacing w:before="0" w:beforeAutospacing="0" w:after="0" w:afterAutospacing="0" w:line="360" w:lineRule="auto"/>
        <w:jc w:val="center"/>
        <w:rPr>
          <w:b/>
          <w:sz w:val="40"/>
          <w:szCs w:val="40"/>
        </w:rPr>
      </w:pPr>
      <w:r>
        <w:rPr>
          <w:b/>
          <w:sz w:val="40"/>
          <w:szCs w:val="40"/>
        </w:rPr>
        <w:lastRenderedPageBreak/>
        <w:t>CHAPTER 3</w:t>
      </w:r>
    </w:p>
    <w:p w:rsidR="006852D6" w:rsidRDefault="006852D6" w:rsidP="006852D6">
      <w:pPr>
        <w:pStyle w:val="NormalWeb"/>
        <w:spacing w:before="0" w:beforeAutospacing="0" w:after="0" w:afterAutospacing="0" w:line="360" w:lineRule="auto"/>
        <w:jc w:val="center"/>
        <w:rPr>
          <w:b/>
          <w:sz w:val="40"/>
          <w:szCs w:val="40"/>
        </w:rPr>
      </w:pPr>
      <w:r>
        <w:rPr>
          <w:b/>
          <w:noProof/>
          <w:sz w:val="40"/>
          <w:szCs w:val="40"/>
        </w:rPr>
        <mc:AlternateContent>
          <mc:Choice Requires="wps">
            <w:drawing>
              <wp:anchor distT="0" distB="0" distL="114300" distR="114300" simplePos="0" relativeHeight="251694080" behindDoc="0" locked="0" layoutInCell="1" allowOverlap="1">
                <wp:simplePos x="0" y="0"/>
                <wp:positionH relativeFrom="column">
                  <wp:posOffset>-241300</wp:posOffset>
                </wp:positionH>
                <wp:positionV relativeFrom="paragraph">
                  <wp:posOffset>412750</wp:posOffset>
                </wp:positionV>
                <wp:extent cx="6184900" cy="0"/>
                <wp:effectExtent l="0" t="0" r="25400" b="19050"/>
                <wp:wrapNone/>
                <wp:docPr id="27" name="Straight Connector 27"/>
                <wp:cNvGraphicFramePr/>
                <a:graphic xmlns:a="http://schemas.openxmlformats.org/drawingml/2006/main">
                  <a:graphicData uri="http://schemas.microsoft.com/office/word/2010/wordprocessingShape">
                    <wps:wsp>
                      <wps:cNvCnPr/>
                      <wps:spPr>
                        <a:xfrm>
                          <a:off x="0" y="0"/>
                          <a:ext cx="6184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9FE5AA" id="Straight Connector 27"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pt,32.5pt" to="46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" strokecolor="black [3200]" strokeweight="1.5pt">
                <v:stroke joinstyle="miter"/>
              </v:line>
            </w:pict>
          </mc:Fallback>
        </mc:AlternateContent>
      </w:r>
      <w:r>
        <w:rPr>
          <w:b/>
          <w:sz w:val="40"/>
          <w:szCs w:val="40"/>
        </w:rPr>
        <w:t>RESEARCH METHODOLOGY</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3.1 Research Design</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study is descriptive and analytical in nature. It focuses on evaluating and comparing the financial performance of selected Indian banks through financial statement analysis and ratio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3.2 Sources of Data</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study is based entirely on secondary data collected from the published annual reports of State Bank of India (SBI), HDFC Bank, and ICICI Bank. Additional information was obtained from the official websites of the respective banks.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3.3 Period of Study</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study covers a period of five financial years from FY2020–21 to FY2024–25.</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3.4 Sample Selection</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following banks were selected for the study:</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State Bank of India (SBI)</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HDFC Bank</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ICICI Bank</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These banks were chosen because they are among the largest and most influential banking institutions in India and represent both the public and private sectors of the banking industry.</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3.5 Parameters Used for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financial performance of the selected banks was evaluated using the following indicators: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Net Profit</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lastRenderedPageBreak/>
        <w:t xml:space="preserve">• Earnings </w:t>
      </w:r>
      <w:proofErr w:type="gramStart"/>
      <w:r w:rsidRPr="00BB5C31">
        <w:rPr>
          <w:rFonts w:ascii="Times New Roman" w:eastAsia="Times New Roman" w:hAnsi="Times New Roman" w:cs="Times New Roman"/>
          <w:sz w:val="24"/>
          <w:szCs w:val="24"/>
          <w:lang w:eastAsia="en-IN"/>
        </w:rPr>
        <w:t>Per</w:t>
      </w:r>
      <w:proofErr w:type="gramEnd"/>
      <w:r w:rsidRPr="00BB5C31">
        <w:rPr>
          <w:rFonts w:ascii="Times New Roman" w:eastAsia="Times New Roman" w:hAnsi="Times New Roman" w:cs="Times New Roman"/>
          <w:sz w:val="24"/>
          <w:szCs w:val="24"/>
          <w:lang w:eastAsia="en-IN"/>
        </w:rPr>
        <w:t xml:space="preserve"> Share (EPS)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Return on Equity (ROE)</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Return on Assets (ROA)</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Gross Non-Performing Assets (Gross NPA)</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Net Non-Performing Assets (Net NPA)</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3.6 Tools Used for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following tools were used in the study:</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Comparative Financial Statement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Ratio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Trend Analysis</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 Graphical Representation using Microsoft Excel</w:t>
      </w:r>
    </w:p>
    <w:p w:rsidR="00BB5C31" w:rsidRPr="00BB5C31" w:rsidRDefault="00BB5C31" w:rsidP="00BB5C31">
      <w:pPr>
        <w:spacing w:before="100" w:beforeAutospacing="1" w:after="100" w:afterAutospacing="1" w:line="360" w:lineRule="auto"/>
        <w:rPr>
          <w:rFonts w:ascii="Times New Roman" w:eastAsia="Times New Roman" w:hAnsi="Times New Roman" w:cs="Times New Roman"/>
          <w:b/>
          <w:sz w:val="24"/>
          <w:szCs w:val="24"/>
          <w:lang w:eastAsia="en-IN"/>
        </w:rPr>
      </w:pPr>
      <w:r w:rsidRPr="00BB5C31">
        <w:rPr>
          <w:rFonts w:ascii="Times New Roman" w:eastAsia="Times New Roman" w:hAnsi="Times New Roman" w:cs="Times New Roman"/>
          <w:b/>
          <w:sz w:val="24"/>
          <w:szCs w:val="24"/>
          <w:lang w:eastAsia="en-IN"/>
        </w:rPr>
        <w:t>3.7 Limitations of the Study</w:t>
      </w:r>
    </w:p>
    <w:p w:rsidR="00BB5C31" w:rsidRPr="00BB5C31" w:rsidRDefault="00BB5C31" w:rsidP="00BB5C31">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study is based solely on secondary data obtained from annual reports.</w:t>
      </w:r>
    </w:p>
    <w:p w:rsidR="00BB5C31" w:rsidRPr="00BB5C31" w:rsidRDefault="00BB5C31" w:rsidP="00BB5C31">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analysis is limited to three selected banks and may not represent the entire Indian banking sector.</w:t>
      </w:r>
    </w:p>
    <w:p w:rsidR="00BB5C31" w:rsidRPr="00BB5C31" w:rsidRDefault="00BB5C31" w:rsidP="00BB5C31">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The study covers a period of five financial years only.</w:t>
      </w:r>
    </w:p>
    <w:p w:rsidR="00BB5C31" w:rsidRPr="00BB5C31" w:rsidRDefault="00BB5C31" w:rsidP="00BB5C31">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BB5C31">
        <w:rPr>
          <w:rFonts w:ascii="Times New Roman" w:eastAsia="Times New Roman" w:hAnsi="Times New Roman" w:cs="Times New Roman"/>
          <w:sz w:val="24"/>
          <w:szCs w:val="24"/>
          <w:lang w:eastAsia="en-IN"/>
        </w:rPr>
        <w:t>External economic, regulatory, and market factors affecting banking performance were not examined in detail.</w:t>
      </w:r>
    </w:p>
    <w:p w:rsidR="00BB5C31" w:rsidRDefault="00BB5C31" w:rsidP="00BB5C31">
      <w:pPr>
        <w:pStyle w:val="NormalWeb"/>
        <w:spacing w:before="0" w:beforeAutospacing="0" w:after="0" w:afterAutospacing="0" w:line="360" w:lineRule="auto"/>
        <w:rPr>
          <w:sz w:val="28"/>
          <w:szCs w:val="28"/>
        </w:rPr>
      </w:pPr>
    </w:p>
    <w:p w:rsidR="00BB5C31" w:rsidRDefault="00BB5C31" w:rsidP="00BB5C31">
      <w:pPr>
        <w:pStyle w:val="NormalWeb"/>
        <w:spacing w:before="0" w:beforeAutospacing="0" w:after="0" w:afterAutospacing="0" w:line="360" w:lineRule="auto"/>
        <w:rPr>
          <w:sz w:val="28"/>
          <w:szCs w:val="28"/>
        </w:rPr>
      </w:pPr>
    </w:p>
    <w:p w:rsidR="00BB5C31" w:rsidRDefault="00BB5C31" w:rsidP="00BB5C31">
      <w:pPr>
        <w:pStyle w:val="NormalWeb"/>
        <w:spacing w:before="0" w:beforeAutospacing="0" w:after="0" w:afterAutospacing="0" w:line="360" w:lineRule="auto"/>
        <w:rPr>
          <w:sz w:val="28"/>
          <w:szCs w:val="28"/>
        </w:rPr>
      </w:pPr>
    </w:p>
    <w:p w:rsidR="00BB5C31" w:rsidRDefault="00BB5C31" w:rsidP="00BB5C31">
      <w:pPr>
        <w:pStyle w:val="NormalWeb"/>
        <w:spacing w:before="0" w:beforeAutospacing="0" w:after="0" w:afterAutospacing="0" w:line="360" w:lineRule="auto"/>
        <w:rPr>
          <w:sz w:val="28"/>
          <w:szCs w:val="28"/>
        </w:rPr>
      </w:pPr>
    </w:p>
    <w:p w:rsidR="003126BD" w:rsidRDefault="003126BD" w:rsidP="00BB5C31">
      <w:pPr>
        <w:pStyle w:val="NormalWeb"/>
        <w:spacing w:before="0" w:beforeAutospacing="0" w:after="0" w:afterAutospacing="0" w:line="360" w:lineRule="auto"/>
        <w:jc w:val="center"/>
        <w:rPr>
          <w:b/>
          <w:sz w:val="40"/>
          <w:szCs w:val="40"/>
        </w:rPr>
      </w:pPr>
    </w:p>
    <w:p w:rsidR="00BB5C31" w:rsidRPr="00BB5C31" w:rsidRDefault="00BB5C31" w:rsidP="00BB5C31">
      <w:pPr>
        <w:pStyle w:val="NormalWeb"/>
        <w:spacing w:before="0" w:beforeAutospacing="0" w:after="0" w:afterAutospacing="0" w:line="360" w:lineRule="auto"/>
        <w:jc w:val="center"/>
        <w:rPr>
          <w:b/>
          <w:sz w:val="40"/>
          <w:szCs w:val="40"/>
        </w:rPr>
      </w:pPr>
      <w:r w:rsidRPr="00BB5C31">
        <w:rPr>
          <w:b/>
          <w:sz w:val="40"/>
          <w:szCs w:val="40"/>
        </w:rPr>
        <w:lastRenderedPageBreak/>
        <w:t>CHAPTER 4</w:t>
      </w:r>
    </w:p>
    <w:p w:rsidR="00BB5C31" w:rsidRDefault="00BB5C31" w:rsidP="00BB5C31">
      <w:pPr>
        <w:pStyle w:val="NormalWeb"/>
        <w:spacing w:before="0" w:beforeAutospacing="0" w:after="0" w:afterAutospacing="0" w:line="360" w:lineRule="auto"/>
        <w:jc w:val="center"/>
        <w:rPr>
          <w:b/>
          <w:sz w:val="40"/>
          <w:szCs w:val="40"/>
        </w:rPr>
      </w:pPr>
      <w:r>
        <w:rPr>
          <w:b/>
          <w:noProof/>
          <w:sz w:val="40"/>
          <w:szCs w:val="40"/>
        </w:rPr>
        <mc:AlternateContent>
          <mc:Choice Requires="wps">
            <w:drawing>
              <wp:anchor distT="0" distB="0" distL="114300" distR="114300" simplePos="0" relativeHeight="251695104" behindDoc="0" locked="0" layoutInCell="1" allowOverlap="1">
                <wp:simplePos x="0" y="0"/>
                <wp:positionH relativeFrom="column">
                  <wp:posOffset>-279400</wp:posOffset>
                </wp:positionH>
                <wp:positionV relativeFrom="paragraph">
                  <wp:posOffset>412750</wp:posOffset>
                </wp:positionV>
                <wp:extent cx="6121400" cy="0"/>
                <wp:effectExtent l="0" t="0" r="31750" b="19050"/>
                <wp:wrapNone/>
                <wp:docPr id="29" name="Straight Connector 29"/>
                <wp:cNvGraphicFramePr/>
                <a:graphic xmlns:a="http://schemas.openxmlformats.org/drawingml/2006/main">
                  <a:graphicData uri="http://schemas.microsoft.com/office/word/2010/wordprocessingShape">
                    <wps:wsp>
                      <wps:cNvCnPr/>
                      <wps:spPr>
                        <a:xfrm>
                          <a:off x="0" y="0"/>
                          <a:ext cx="6121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7589D0" id="Straight Connector 2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2pt,32.5pt" to="460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" strokecolor="black [3200]" strokeweight="1.5pt">
                <v:stroke joinstyle="miter"/>
              </v:line>
            </w:pict>
          </mc:Fallback>
        </mc:AlternateContent>
      </w:r>
      <w:r w:rsidRPr="00BB5C31">
        <w:rPr>
          <w:b/>
          <w:sz w:val="40"/>
          <w:szCs w:val="40"/>
        </w:rPr>
        <w:t>DATA ANALYSIS AND INTERPRETATION</w:t>
      </w:r>
    </w:p>
    <w:p w:rsidR="00BB5C31" w:rsidRDefault="00BB5C31" w:rsidP="00BB5C31">
      <w:pPr>
        <w:pStyle w:val="NormalWeb"/>
        <w:spacing w:before="0" w:beforeAutospacing="0" w:after="0" w:afterAutospacing="0" w:line="360" w:lineRule="auto"/>
      </w:pPr>
    </w:p>
    <w:p w:rsidR="00EB518B" w:rsidRDefault="00EB518B" w:rsidP="00BB5C31">
      <w:pPr>
        <w:pStyle w:val="NormalWeb"/>
        <w:spacing w:before="0" w:beforeAutospacing="0" w:after="0" w:afterAutospacing="0" w:line="360" w:lineRule="auto"/>
        <w:rPr>
          <w:b/>
        </w:rPr>
      </w:pPr>
      <w:r w:rsidRPr="00EB518B">
        <w:rPr>
          <w:b/>
        </w:rPr>
        <w:t>4.1 Net Profit Analysis</w:t>
      </w:r>
    </w:p>
    <w:p w:rsidR="00EB518B" w:rsidRDefault="00EB518B" w:rsidP="00EB518B">
      <w:pPr>
        <w:pStyle w:val="NormalWeb"/>
        <w:spacing w:before="0" w:beforeAutospacing="0" w:after="0" w:afterAutospacing="0" w:line="360" w:lineRule="auto"/>
        <w:jc w:val="center"/>
      </w:pPr>
    </w:p>
    <w:p w:rsidR="00EB518B" w:rsidRDefault="00EB518B" w:rsidP="00EB518B">
      <w:pPr>
        <w:pStyle w:val="NormalWeb"/>
        <w:spacing w:before="0" w:beforeAutospacing="0" w:after="0" w:afterAutospacing="0" w:line="360" w:lineRule="auto"/>
        <w:jc w:val="center"/>
      </w:pPr>
      <w:r>
        <w:t>Figure 1: Net Profit Trend of SBI, HDFC Bank and ICICI Bank (FY2020–21 to FY2024–25)</w:t>
      </w:r>
    </w:p>
    <w:p w:rsidR="00EB518B" w:rsidRDefault="00EB518B" w:rsidP="00BB5C31">
      <w:pPr>
        <w:pStyle w:val="NormalWeb"/>
        <w:spacing w:before="0" w:beforeAutospacing="0" w:after="0" w:afterAutospacing="0" w:line="360" w:lineRule="auto"/>
      </w:pPr>
    </w:p>
    <w:p w:rsidR="00EB518B" w:rsidRDefault="00EB518B" w:rsidP="00BB5C31">
      <w:pPr>
        <w:pStyle w:val="NormalWeb"/>
        <w:spacing w:before="0" w:beforeAutospacing="0" w:after="0" w:afterAutospacing="0" w:line="360" w:lineRule="auto"/>
        <w:rPr>
          <w:b/>
        </w:rPr>
      </w:pPr>
      <w:r>
        <w:rPr>
          <w:noProof/>
        </w:rPr>
        <w:drawing>
          <wp:inline distT="0" distB="0" distL="0" distR="0" wp14:anchorId="2366DB6F" wp14:editId="346C061F">
            <wp:extent cx="5707117" cy="3294380"/>
            <wp:effectExtent l="0" t="0" r="8255" b="127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EB518B" w:rsidRDefault="00EB518B" w:rsidP="00BB5C31">
      <w:pPr>
        <w:pStyle w:val="NormalWeb"/>
        <w:spacing w:before="0" w:beforeAutospacing="0" w:after="0" w:afterAutospacing="0" w:line="360" w:lineRule="auto"/>
        <w:rPr>
          <w:b/>
        </w:rPr>
      </w:pPr>
    </w:p>
    <w:p w:rsidR="00EB518B" w:rsidRDefault="00EB518B" w:rsidP="00BB5C31">
      <w:pPr>
        <w:pStyle w:val="NormalWeb"/>
        <w:spacing w:before="0" w:beforeAutospacing="0" w:after="0" w:afterAutospacing="0" w:line="360" w:lineRule="auto"/>
        <w:rPr>
          <w:b/>
        </w:rPr>
      </w:pPr>
    </w:p>
    <w:p w:rsidR="00EB518B" w:rsidRDefault="00EB518B" w:rsidP="00BB5C31">
      <w:pPr>
        <w:pStyle w:val="NormalWeb"/>
        <w:spacing w:before="0" w:beforeAutospacing="0" w:after="0" w:afterAutospacing="0" w:line="360" w:lineRule="auto"/>
        <w:rPr>
          <w:b/>
        </w:rPr>
      </w:pPr>
      <w:r>
        <w:rPr>
          <w:b/>
        </w:rPr>
        <w:t>Interpretation:</w:t>
      </w:r>
    </w:p>
    <w:p w:rsidR="00EB518B" w:rsidRDefault="00EB518B" w:rsidP="00EB518B">
      <w:pPr>
        <w:pStyle w:val="NormalWeb"/>
        <w:spacing w:after="0" w:line="360" w:lineRule="auto"/>
      </w:pPr>
      <w:r>
        <w:t>The net profit trend of the selected banks indicates a strong improvement in profitability over the study period. All three banks recorded consistent growth in net profit from FY2020–21 to FY2024–25. SBI reported the highest increase in net profit, rising significantly during the five-year period and demonstrating strong financial performance. HDFC Bank maintained steady growth, reflecting consistent profitability and operational efficiency. ICICI Bank also recorded substantial growth in net profit, indicating improved business performance and effective management of financial resources. Overall, the increasing trend in net profit suggests that the selected banks strengthened their earnings capacity and financial position during the study period.</w:t>
      </w:r>
    </w:p>
    <w:p w:rsidR="0075287F" w:rsidRDefault="0075287F" w:rsidP="0075287F">
      <w:pPr>
        <w:pStyle w:val="NormalWeb"/>
        <w:spacing w:after="0" w:line="360" w:lineRule="auto"/>
        <w:rPr>
          <w:b/>
        </w:rPr>
      </w:pPr>
      <w:r>
        <w:rPr>
          <w:b/>
        </w:rPr>
        <w:lastRenderedPageBreak/>
        <w:t>4.2 Gross NPA Analysis</w:t>
      </w:r>
    </w:p>
    <w:p w:rsidR="0075287F" w:rsidRDefault="0075287F" w:rsidP="0075287F">
      <w:pPr>
        <w:pStyle w:val="NormalWeb"/>
        <w:spacing w:after="0"/>
      </w:pPr>
      <w:r>
        <w:t>Figure 2: Gross NPA Trend of SBI, HDFC Bank and ICICI Bank (FY2020–21 to</w:t>
      </w:r>
    </w:p>
    <w:p w:rsidR="0075287F" w:rsidRDefault="0075287F" w:rsidP="0075287F">
      <w:pPr>
        <w:pStyle w:val="NormalWeb"/>
        <w:spacing w:after="0"/>
      </w:pPr>
      <w:r>
        <w:t xml:space="preserve"> FY2024–25)</w:t>
      </w:r>
    </w:p>
    <w:p w:rsidR="0075287F" w:rsidRDefault="0075287F" w:rsidP="0075287F">
      <w:pPr>
        <w:pStyle w:val="NormalWeb"/>
        <w:spacing w:after="0"/>
      </w:pPr>
      <w:r>
        <w:rPr>
          <w:noProof/>
        </w:rPr>
        <w:drawing>
          <wp:inline distT="0" distB="0" distL="0" distR="0" wp14:anchorId="31971C19" wp14:editId="59D7287F">
            <wp:extent cx="5722883" cy="4288155"/>
            <wp:effectExtent l="0" t="0" r="11430" b="1714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5287F" w:rsidRDefault="0075287F" w:rsidP="0075287F">
      <w:pPr>
        <w:pStyle w:val="NormalWeb"/>
        <w:spacing w:after="0"/>
      </w:pPr>
    </w:p>
    <w:p w:rsidR="0075287F" w:rsidRPr="0075287F" w:rsidRDefault="0075287F" w:rsidP="0075287F">
      <w:pPr>
        <w:pStyle w:val="Heading3"/>
        <w:rPr>
          <w:rFonts w:ascii="Times New Roman" w:hAnsi="Times New Roman" w:cs="Times New Roman"/>
          <w:b/>
          <w:color w:val="auto"/>
        </w:rPr>
      </w:pPr>
      <w:r w:rsidRPr="0075287F">
        <w:rPr>
          <w:rFonts w:ascii="Times New Roman" w:hAnsi="Times New Roman" w:cs="Times New Roman"/>
          <w:b/>
          <w:color w:val="auto"/>
        </w:rPr>
        <w:t>Interpretation</w:t>
      </w:r>
      <w:r>
        <w:rPr>
          <w:rFonts w:ascii="Times New Roman" w:hAnsi="Times New Roman" w:cs="Times New Roman"/>
          <w:b/>
          <w:color w:val="auto"/>
        </w:rPr>
        <w:t>:</w:t>
      </w:r>
    </w:p>
    <w:p w:rsidR="0075287F" w:rsidRDefault="0075287F" w:rsidP="0075287F">
      <w:pPr>
        <w:pStyle w:val="NormalWeb"/>
        <w:spacing w:line="360" w:lineRule="auto"/>
      </w:pPr>
      <w:r>
        <w:t>The Gross Non-Performing Assets (Gross NPA) trend indicates a significant improvement in the asset quality of the selected banks during the study period. SBI recorded a substantial decline in Gross NPA from 4.98% in FY2020–21 to 1.82% in FY2024–25, reflecting effective recovery measures and improved credit management. ICICI Bank also showed a remarkable reduction in Gross NPA, decreasing from 5.33% to 1.73% over the same period. HDFC Bank maintained the lowest Gross NPA ratio throughout the study period, demonstrating strong lending practices and prudent risk management. The overall declining trend in Gross NPA across all three banks suggests enhanced asset quality, lower credit risk, and stronger financial stability.</w:t>
      </w:r>
    </w:p>
    <w:p w:rsidR="0075287F" w:rsidRDefault="0075287F" w:rsidP="0075287F">
      <w:pPr>
        <w:pStyle w:val="NormalWeb"/>
        <w:spacing w:after="0" w:line="360" w:lineRule="auto"/>
        <w:rPr>
          <w:b/>
        </w:rPr>
      </w:pPr>
      <w:r>
        <w:rPr>
          <w:b/>
        </w:rPr>
        <w:lastRenderedPageBreak/>
        <w:t>4.3 Net NPA Analysis</w:t>
      </w:r>
    </w:p>
    <w:p w:rsidR="0075287F" w:rsidRDefault="0075287F" w:rsidP="0075287F">
      <w:pPr>
        <w:pStyle w:val="NormalWeb"/>
        <w:spacing w:after="0" w:line="360" w:lineRule="auto"/>
        <w:jc w:val="center"/>
      </w:pPr>
      <w:r>
        <w:t>Figure 3: Net NPA Trend of SBI, HDFC Bank and ICICI Bank (FY2020–21 to FY2024–25)</w:t>
      </w:r>
    </w:p>
    <w:p w:rsidR="0075287F" w:rsidRDefault="0075287F" w:rsidP="0075287F">
      <w:pPr>
        <w:pStyle w:val="NormalWeb"/>
        <w:spacing w:after="0" w:line="360" w:lineRule="auto"/>
        <w:jc w:val="center"/>
      </w:pPr>
      <w:r>
        <w:rPr>
          <w:noProof/>
        </w:rPr>
        <w:drawing>
          <wp:inline distT="0" distB="0" distL="0" distR="0" wp14:anchorId="21EA2004" wp14:editId="1843EEF7">
            <wp:extent cx="5549462" cy="4902835"/>
            <wp:effectExtent l="0" t="0" r="13335" b="1206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5287F" w:rsidRDefault="0075287F" w:rsidP="0075287F">
      <w:pPr>
        <w:pStyle w:val="Heading3"/>
        <w:rPr>
          <w:b/>
          <w:color w:val="auto"/>
        </w:rPr>
      </w:pPr>
    </w:p>
    <w:p w:rsidR="0075287F" w:rsidRPr="0075287F" w:rsidRDefault="0075287F" w:rsidP="0075287F">
      <w:pPr>
        <w:pStyle w:val="Heading3"/>
        <w:rPr>
          <w:b/>
          <w:color w:val="auto"/>
        </w:rPr>
      </w:pPr>
      <w:r w:rsidRPr="0075287F">
        <w:rPr>
          <w:b/>
          <w:color w:val="auto"/>
        </w:rPr>
        <w:t>Interpretation</w:t>
      </w:r>
      <w:r>
        <w:rPr>
          <w:b/>
          <w:color w:val="auto"/>
        </w:rPr>
        <w:t>:</w:t>
      </w:r>
    </w:p>
    <w:p w:rsidR="0075287F" w:rsidRDefault="0075287F" w:rsidP="0075287F">
      <w:pPr>
        <w:pStyle w:val="NormalWeb"/>
        <w:spacing w:line="360" w:lineRule="auto"/>
      </w:pPr>
      <w:r>
        <w:t>The Net Non-Performing Assets (Net NPA) ratio of all three banks exhibited a declining trend during the study period, indicating improved recovery performance and stronger provisioning practices. SBI reduced its Net NPA from 1.50% in FY2020–21 to 0.47% in FY2024–25. ICICI Bank recorded a significant decline from 1.24% to 0.42%, while HDFC Bank maintained consistently low Net NPA levels throughout the period. The reduction in Net NPA reflects better management of stressed assets and improved financial health. Overall, the declining trend demonstrates the banks' ability to control credit risk and strengthen the quality of their loan portfolios.</w:t>
      </w:r>
    </w:p>
    <w:p w:rsidR="0075287F" w:rsidRDefault="0075287F" w:rsidP="0075287F">
      <w:pPr>
        <w:pStyle w:val="NormalWeb"/>
        <w:spacing w:after="0" w:line="360" w:lineRule="auto"/>
        <w:rPr>
          <w:b/>
        </w:rPr>
      </w:pPr>
      <w:r>
        <w:rPr>
          <w:b/>
        </w:rPr>
        <w:lastRenderedPageBreak/>
        <w:t>4.4 Return on Equity (ROE) Analysis</w:t>
      </w:r>
    </w:p>
    <w:p w:rsidR="0075287F" w:rsidRDefault="0075287F" w:rsidP="0075287F">
      <w:pPr>
        <w:pStyle w:val="NormalWeb"/>
        <w:spacing w:after="0" w:line="360" w:lineRule="auto"/>
        <w:jc w:val="center"/>
        <w:rPr>
          <w:b/>
        </w:rPr>
      </w:pPr>
      <w:r>
        <w:t>Figure 4: ROE Trend of SBI, HDFC Bank and ICICI Bank (FY2020–21 to FY2024–25)</w:t>
      </w:r>
    </w:p>
    <w:p w:rsidR="0075287F" w:rsidRDefault="0075287F" w:rsidP="0075287F">
      <w:pPr>
        <w:pStyle w:val="NormalWeb"/>
        <w:spacing w:after="0" w:line="360" w:lineRule="auto"/>
        <w:rPr>
          <w:b/>
        </w:rPr>
      </w:pPr>
      <w:r>
        <w:rPr>
          <w:noProof/>
        </w:rPr>
        <w:drawing>
          <wp:inline distT="0" distB="0" distL="0" distR="0" wp14:anchorId="33D0B29C" wp14:editId="5615749F">
            <wp:extent cx="5612524" cy="4665980"/>
            <wp:effectExtent l="0" t="0" r="7620" b="127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75287F" w:rsidRDefault="0075287F" w:rsidP="0075287F">
      <w:pPr>
        <w:pStyle w:val="NormalWeb"/>
        <w:spacing w:after="0" w:line="360" w:lineRule="auto"/>
        <w:rPr>
          <w:b/>
        </w:rPr>
      </w:pPr>
    </w:p>
    <w:p w:rsidR="0075287F" w:rsidRPr="0075287F" w:rsidRDefault="0075287F" w:rsidP="0075287F">
      <w:pPr>
        <w:pStyle w:val="Heading3"/>
        <w:rPr>
          <w:rFonts w:ascii="Times New Roman" w:hAnsi="Times New Roman" w:cs="Times New Roman"/>
          <w:b/>
          <w:color w:val="auto"/>
        </w:rPr>
      </w:pPr>
      <w:r w:rsidRPr="0075287F">
        <w:rPr>
          <w:rFonts w:ascii="Times New Roman" w:hAnsi="Times New Roman" w:cs="Times New Roman"/>
          <w:b/>
          <w:color w:val="auto"/>
        </w:rPr>
        <w:t>Interpretation</w:t>
      </w:r>
      <w:r>
        <w:rPr>
          <w:rFonts w:ascii="Times New Roman" w:hAnsi="Times New Roman" w:cs="Times New Roman"/>
          <w:b/>
          <w:color w:val="auto"/>
        </w:rPr>
        <w:t>:</w:t>
      </w:r>
    </w:p>
    <w:p w:rsidR="0075287F" w:rsidRDefault="0075287F" w:rsidP="0075287F">
      <w:pPr>
        <w:pStyle w:val="NormalWeb"/>
        <w:spacing w:line="360" w:lineRule="auto"/>
      </w:pPr>
      <w:r>
        <w:t>The Return on Equity (ROE) analysis measures the efficiency with which banks generate profits from shareholders' funds. The results indicate that all three banks improved their ROE during the study period. SBI recorded substantial growth in ROE due to strong profit growth and improved operational efficiency. ICICI Bank also showed significant improvement, reflecting enhanced profitability and effective utilization of equity capital. HDFC Bank maintained a stable and healthy ROE throughout the period. The overall trend suggests that the selected banks generated increasing returns for shareholders and improved their financial performance over time.</w:t>
      </w:r>
    </w:p>
    <w:p w:rsidR="0075287F" w:rsidRDefault="0075287F" w:rsidP="00F142C4">
      <w:pPr>
        <w:pStyle w:val="NormalWeb"/>
        <w:spacing w:after="0" w:line="360" w:lineRule="auto"/>
        <w:rPr>
          <w:b/>
        </w:rPr>
      </w:pPr>
      <w:r>
        <w:rPr>
          <w:b/>
        </w:rPr>
        <w:lastRenderedPageBreak/>
        <w:t>4.5 Return on Assets (ROA) Analysis</w:t>
      </w:r>
    </w:p>
    <w:p w:rsidR="0075287F" w:rsidRDefault="00F142C4" w:rsidP="00F142C4">
      <w:pPr>
        <w:pStyle w:val="NormalWeb"/>
        <w:spacing w:after="0" w:line="360" w:lineRule="auto"/>
        <w:jc w:val="center"/>
      </w:pPr>
      <w:r>
        <w:t>Figure 5: ROA Trend of SBI, HDFC Bank and ICICI Bank (FY2020–21 to FY2024–25)</w:t>
      </w:r>
    </w:p>
    <w:p w:rsidR="00F142C4" w:rsidRDefault="00F142C4" w:rsidP="00F142C4">
      <w:pPr>
        <w:pStyle w:val="NormalWeb"/>
        <w:spacing w:after="0" w:line="360" w:lineRule="auto"/>
        <w:jc w:val="center"/>
        <w:rPr>
          <w:b/>
        </w:rPr>
      </w:pPr>
      <w:r>
        <w:rPr>
          <w:noProof/>
        </w:rPr>
        <w:drawing>
          <wp:inline distT="0" distB="0" distL="0" distR="0" wp14:anchorId="6E20CC5A" wp14:editId="046AB971">
            <wp:extent cx="5407573" cy="4603115"/>
            <wp:effectExtent l="0" t="0" r="3175" b="698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142C4" w:rsidRPr="00F142C4" w:rsidRDefault="00F142C4" w:rsidP="00F142C4">
      <w:pPr>
        <w:pStyle w:val="NormalWeb"/>
        <w:spacing w:after="0" w:line="360" w:lineRule="auto"/>
        <w:rPr>
          <w:b/>
        </w:rPr>
      </w:pPr>
    </w:p>
    <w:p w:rsidR="00F142C4" w:rsidRPr="00F142C4" w:rsidRDefault="00F142C4" w:rsidP="00F142C4">
      <w:pPr>
        <w:pStyle w:val="Heading3"/>
        <w:rPr>
          <w:rFonts w:ascii="Times New Roman" w:hAnsi="Times New Roman" w:cs="Times New Roman"/>
          <w:b/>
        </w:rPr>
      </w:pPr>
      <w:r w:rsidRPr="00F142C4">
        <w:rPr>
          <w:rFonts w:ascii="Times New Roman" w:hAnsi="Times New Roman" w:cs="Times New Roman"/>
          <w:b/>
        </w:rPr>
        <w:t>Interpretation</w:t>
      </w:r>
    </w:p>
    <w:p w:rsidR="00F142C4" w:rsidRDefault="00F142C4" w:rsidP="00F142C4">
      <w:pPr>
        <w:pStyle w:val="NormalWeb"/>
        <w:spacing w:line="360" w:lineRule="auto"/>
      </w:pPr>
      <w:r>
        <w:t>Return on Assets (ROA) measures how efficiently a bank utilizes its total assets to generate profits. The analysis shows an overall improvement in ROA for all three banks during the study period. SBI recorded a notable increase in ROA, reflecting better utilization of its large asset base and improved profitability. ICICI Bank also demonstrated significant growth in ROA, indicating enhanced operational efficiency and stronger earnings generation. HDFC Bank maintained relatively stable and healthy ROA levels throughout the period. The increasing trend in ROA suggests that the selected banks improved their ability to convert assets into profits and strengthen overall financial performance.</w:t>
      </w:r>
    </w:p>
    <w:p w:rsidR="00F142C4" w:rsidRDefault="00F142C4" w:rsidP="00F142C4">
      <w:pPr>
        <w:pStyle w:val="NormalWeb"/>
        <w:spacing w:after="0" w:line="360" w:lineRule="auto"/>
        <w:rPr>
          <w:b/>
        </w:rPr>
      </w:pPr>
      <w:r w:rsidRPr="00F142C4">
        <w:rPr>
          <w:b/>
        </w:rPr>
        <w:lastRenderedPageBreak/>
        <w:t xml:space="preserve">4.6 Earnings </w:t>
      </w:r>
      <w:proofErr w:type="gramStart"/>
      <w:r w:rsidRPr="00F142C4">
        <w:rPr>
          <w:b/>
        </w:rPr>
        <w:t>Per</w:t>
      </w:r>
      <w:proofErr w:type="gramEnd"/>
      <w:r w:rsidRPr="00F142C4">
        <w:rPr>
          <w:b/>
        </w:rPr>
        <w:t xml:space="preserve"> Share (EPS) Analysis</w:t>
      </w:r>
    </w:p>
    <w:p w:rsidR="00F142C4" w:rsidRDefault="00F142C4" w:rsidP="00F142C4">
      <w:pPr>
        <w:pStyle w:val="NormalWeb"/>
        <w:spacing w:after="0" w:line="360" w:lineRule="auto"/>
        <w:jc w:val="center"/>
      </w:pPr>
      <w:r>
        <w:t>Figure 6: EPS Trend of SBI, HDFC Bank and ICICI Bank (FY2020–21 to FY2024–25)</w:t>
      </w:r>
    </w:p>
    <w:p w:rsidR="00F142C4" w:rsidRDefault="00F142C4" w:rsidP="00F142C4">
      <w:pPr>
        <w:pStyle w:val="NormalWeb"/>
        <w:spacing w:after="0" w:line="360" w:lineRule="auto"/>
        <w:jc w:val="center"/>
        <w:rPr>
          <w:b/>
        </w:rPr>
      </w:pPr>
      <w:r>
        <w:rPr>
          <w:noProof/>
        </w:rPr>
        <w:drawing>
          <wp:inline distT="0" distB="0" distL="0" distR="0" wp14:anchorId="714D1E0B" wp14:editId="6C8AF93A">
            <wp:extent cx="5423338" cy="4665980"/>
            <wp:effectExtent l="0" t="0" r="6350" b="127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142C4" w:rsidRPr="00F142C4" w:rsidRDefault="00F142C4" w:rsidP="00F142C4">
      <w:pPr>
        <w:pStyle w:val="NormalWeb"/>
        <w:spacing w:after="0" w:line="360" w:lineRule="auto"/>
        <w:jc w:val="center"/>
        <w:rPr>
          <w:b/>
        </w:rPr>
      </w:pPr>
    </w:p>
    <w:p w:rsidR="00F142C4" w:rsidRPr="00F142C4" w:rsidRDefault="00F142C4" w:rsidP="00F142C4">
      <w:pPr>
        <w:pStyle w:val="Heading3"/>
        <w:rPr>
          <w:rFonts w:ascii="Times New Roman" w:hAnsi="Times New Roman" w:cs="Times New Roman"/>
          <w:b/>
          <w:color w:val="auto"/>
        </w:rPr>
      </w:pPr>
      <w:r w:rsidRPr="00F142C4">
        <w:rPr>
          <w:rFonts w:ascii="Times New Roman" w:hAnsi="Times New Roman" w:cs="Times New Roman"/>
          <w:b/>
          <w:color w:val="auto"/>
        </w:rPr>
        <w:t>Interpretation</w:t>
      </w:r>
      <w:r>
        <w:rPr>
          <w:rFonts w:ascii="Times New Roman" w:hAnsi="Times New Roman" w:cs="Times New Roman"/>
          <w:b/>
          <w:color w:val="auto"/>
        </w:rPr>
        <w:t>:</w:t>
      </w:r>
    </w:p>
    <w:p w:rsidR="00F142C4" w:rsidRDefault="00F142C4" w:rsidP="00F142C4">
      <w:pPr>
        <w:pStyle w:val="NormalWeb"/>
        <w:spacing w:line="360" w:lineRule="auto"/>
      </w:pPr>
      <w:r>
        <w:t xml:space="preserve">Earnings </w:t>
      </w:r>
      <w:proofErr w:type="gramStart"/>
      <w:r>
        <w:t>Per</w:t>
      </w:r>
      <w:proofErr w:type="gramEnd"/>
      <w:r>
        <w:t xml:space="preserve"> Share (EPS) reflects the amount of profit earned for each outstanding share and serves as an important indicator of shareholder value. The analysis reveals a consistent increase in EPS across all three banks during the study period. SBI recorded substantial growth in EPS, supported by significant improvements in profitability. ICICI Bank also showed remarkable growth, indicating stronger earnings available to shareholders. HDFC Bank maintained the highest EPS among the selected banks for most of the study period, demonstrating stable profitability and strong financial performance. The overall upward trend in EPS indicates increasing shareholder returns and improved earnings capacity of the banks.</w:t>
      </w:r>
    </w:p>
    <w:p w:rsidR="0016410E" w:rsidRDefault="0016410E" w:rsidP="0016410E">
      <w:pPr>
        <w:pStyle w:val="NormalWeb"/>
        <w:spacing w:after="0"/>
        <w:jc w:val="center"/>
        <w:rPr>
          <w:b/>
          <w:sz w:val="40"/>
          <w:szCs w:val="40"/>
        </w:rPr>
      </w:pPr>
      <w:r>
        <w:rPr>
          <w:b/>
          <w:sz w:val="40"/>
          <w:szCs w:val="40"/>
        </w:rPr>
        <w:lastRenderedPageBreak/>
        <w:t xml:space="preserve">CHAPTER 5 </w:t>
      </w:r>
    </w:p>
    <w:p w:rsidR="0016410E" w:rsidRDefault="0016410E" w:rsidP="0016410E">
      <w:pPr>
        <w:pStyle w:val="NormalWeb"/>
        <w:spacing w:after="0" w:line="360" w:lineRule="auto"/>
        <w:jc w:val="center"/>
        <w:rPr>
          <w:b/>
          <w:sz w:val="40"/>
          <w:szCs w:val="40"/>
        </w:rPr>
      </w:pPr>
      <w:r>
        <w:rPr>
          <w:b/>
          <w:noProof/>
          <w:sz w:val="40"/>
          <w:szCs w:val="40"/>
        </w:rPr>
        <mc:AlternateContent>
          <mc:Choice Requires="wps">
            <w:drawing>
              <wp:anchor distT="0" distB="0" distL="114300" distR="114300" simplePos="0" relativeHeight="251696128" behindDoc="0" locked="0" layoutInCell="1" allowOverlap="1">
                <wp:simplePos x="0" y="0"/>
                <wp:positionH relativeFrom="column">
                  <wp:posOffset>-236484</wp:posOffset>
                </wp:positionH>
                <wp:positionV relativeFrom="paragraph">
                  <wp:posOffset>397203</wp:posOffset>
                </wp:positionV>
                <wp:extent cx="6117021" cy="0"/>
                <wp:effectExtent l="0" t="0" r="36195" b="19050"/>
                <wp:wrapNone/>
                <wp:docPr id="37" name="Straight Connector 37"/>
                <wp:cNvGraphicFramePr/>
                <a:graphic xmlns:a="http://schemas.openxmlformats.org/drawingml/2006/main">
                  <a:graphicData uri="http://schemas.microsoft.com/office/word/2010/wordprocessingShape">
                    <wps:wsp>
                      <wps:cNvCnPr/>
                      <wps:spPr>
                        <a:xfrm>
                          <a:off x="0" y="0"/>
                          <a:ext cx="6117021"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052A99" id="Straight Connector 3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6pt,31.3pt" to="463.0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" strokecolor="black [3200]" strokeweight="1.5pt">
                <v:stroke joinstyle="miter"/>
              </v:line>
            </w:pict>
          </mc:Fallback>
        </mc:AlternateContent>
      </w:r>
      <w:r>
        <w:rPr>
          <w:b/>
          <w:sz w:val="40"/>
          <w:szCs w:val="40"/>
        </w:rPr>
        <w:t>FINDINGS</w:t>
      </w:r>
    </w:p>
    <w:p w:rsidR="0016410E" w:rsidRPr="0016410E" w:rsidRDefault="0016410E" w:rsidP="0016410E">
      <w:p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The analysis of Net Profit, Gross NPA, Net NPA, Return on Equity (ROE), Return on Assets (ROA), and Earnings Per Share (EPS) of SBI, HDFC Bank, and ICICI Bank for the period FY2020–21 to FY2024–25 led to the following findings:</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All three banks showed a noticeable increase in net profit over the five-year period, indicating overall improvement in their financial performance.</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Among the selected banks, SBI recorded the highest growth in net profit, reflecting its strong profitability and better operational efficiency.</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HDFC Bank maintained steady profitability throughout the study period and continued to demonstrate stable financial performance.</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ICICI Bank experienced significant growth in profitability and showed considerable improvement in its overall financial position.</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The Gross NPA ratios of all three banks declined during the study period, which indicates better asset quality and more effective management of credit risk.</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A similar downward trend was observed in Net NPA ratios, suggesting improvements in loan recovery and provisioning practices.</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The ROE of the selected banks improved over the years, showing that they were able to generate better returns for their shareholders.</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ROA also increased during the study period, indicating more efficient use of assets in generating profits.</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EPS showed consistent growth across all three banks, reflecting higher earnings available to equity shareholders.</w:t>
      </w:r>
    </w:p>
    <w:p w:rsidR="0016410E" w:rsidRPr="0016410E" w:rsidRDefault="0016410E" w:rsidP="0016410E">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6410E">
        <w:rPr>
          <w:rFonts w:ascii="Times New Roman" w:eastAsia="Times New Roman" w:hAnsi="Times New Roman" w:cs="Times New Roman"/>
          <w:sz w:val="24"/>
          <w:szCs w:val="24"/>
          <w:lang w:eastAsia="en-IN"/>
        </w:rPr>
        <w:t>Overall, the findings reveal that SBI, HDFC Bank, and ICICI Bank strengthened their profitability, improved asset quality, and enhanced operational efficiency between FY2020–21 and FY2024–25.</w:t>
      </w:r>
    </w:p>
    <w:p w:rsidR="0016410E" w:rsidRDefault="0016410E" w:rsidP="0016410E">
      <w:pPr>
        <w:pStyle w:val="NormalWeb"/>
        <w:spacing w:after="0" w:line="360" w:lineRule="auto"/>
      </w:pPr>
    </w:p>
    <w:p w:rsidR="00165188" w:rsidRDefault="00165188" w:rsidP="0016410E">
      <w:pPr>
        <w:pStyle w:val="NormalWeb"/>
        <w:spacing w:after="0" w:line="360" w:lineRule="auto"/>
      </w:pPr>
    </w:p>
    <w:p w:rsidR="00165188" w:rsidRDefault="00165188" w:rsidP="0016410E">
      <w:pPr>
        <w:pStyle w:val="NormalWeb"/>
        <w:spacing w:after="0" w:line="360" w:lineRule="auto"/>
      </w:pPr>
    </w:p>
    <w:p w:rsidR="003126BD" w:rsidRDefault="00165188" w:rsidP="003126BD">
      <w:pPr>
        <w:pStyle w:val="NormalWeb"/>
        <w:spacing w:after="0" w:line="360" w:lineRule="auto"/>
        <w:jc w:val="center"/>
        <w:rPr>
          <w:b/>
          <w:sz w:val="40"/>
        </w:rPr>
      </w:pPr>
      <w:r>
        <w:rPr>
          <w:b/>
          <w:sz w:val="40"/>
        </w:rPr>
        <w:lastRenderedPageBreak/>
        <w:t>CHAPTER 6</w:t>
      </w:r>
    </w:p>
    <w:p w:rsidR="00165188" w:rsidRDefault="00165188" w:rsidP="00165188">
      <w:pPr>
        <w:pStyle w:val="NormalWeb"/>
        <w:spacing w:after="0" w:line="360" w:lineRule="auto"/>
        <w:jc w:val="center"/>
        <w:rPr>
          <w:b/>
          <w:sz w:val="40"/>
        </w:rPr>
      </w:pPr>
      <w:r>
        <w:rPr>
          <w:b/>
          <w:noProof/>
          <w:sz w:val="40"/>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329587</wp:posOffset>
                </wp:positionV>
                <wp:extent cx="6306207" cy="0"/>
                <wp:effectExtent l="0" t="0" r="37465" b="19050"/>
                <wp:wrapNone/>
                <wp:docPr id="38" name="Straight Connector 38"/>
                <wp:cNvGraphicFramePr/>
                <a:graphic xmlns:a="http://schemas.openxmlformats.org/drawingml/2006/main">
                  <a:graphicData uri="http://schemas.microsoft.com/office/word/2010/wordprocessingShape">
                    <wps:wsp>
                      <wps:cNvCnPr/>
                      <wps:spPr>
                        <a:xfrm>
                          <a:off x="0" y="0"/>
                          <a:ext cx="630620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AB10AC" id="Straight Connector 38" o:spid="_x0000_s1026" style="position:absolute;z-index:251697152;visibility:visible;mso-wrap-style:square;mso-wrap-distance-left:9pt;mso-wrap-distance-top:0;mso-wrap-distance-right:9pt;mso-wrap-distance-bottom:0;mso-position-horizontal:center;mso-position-horizontal-relative:margin;mso-position-vertical:absolute;mso-position-vertical-relative:text" from="0,25.95pt" to="496.5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" strokecolor="black [3200]" strokeweight="1.5pt">
                <v:stroke joinstyle="miter"/>
                <w10:wrap anchorx="margin"/>
              </v:line>
            </w:pict>
          </mc:Fallback>
        </mc:AlternateContent>
      </w:r>
      <w:r w:rsidR="00ED5A9C">
        <w:rPr>
          <w:b/>
          <w:sz w:val="40"/>
        </w:rPr>
        <w:t>CONCLUSION</w:t>
      </w:r>
      <w:r>
        <w:rPr>
          <w:b/>
          <w:sz w:val="40"/>
        </w:rPr>
        <w:t xml:space="preserve"> AND SUGGESTIONS</w:t>
      </w:r>
    </w:p>
    <w:p w:rsidR="00165188" w:rsidRPr="00165188" w:rsidRDefault="00165188" w:rsidP="00165188">
      <w:pPr>
        <w:pStyle w:val="Heading3"/>
        <w:spacing w:line="360" w:lineRule="auto"/>
        <w:rPr>
          <w:rFonts w:ascii="Times New Roman" w:hAnsi="Times New Roman" w:cs="Times New Roman"/>
          <w:b/>
          <w:color w:val="auto"/>
        </w:rPr>
      </w:pPr>
      <w:r w:rsidRPr="00165188">
        <w:rPr>
          <w:rFonts w:ascii="Times New Roman" w:hAnsi="Times New Roman" w:cs="Times New Roman"/>
          <w:b/>
          <w:color w:val="auto"/>
        </w:rPr>
        <w:t>6.1 Conclusion</w:t>
      </w:r>
    </w:p>
    <w:p w:rsidR="00165188" w:rsidRDefault="00165188" w:rsidP="00165188">
      <w:pPr>
        <w:pStyle w:val="NormalWeb"/>
        <w:spacing w:line="360" w:lineRule="auto"/>
      </w:pPr>
      <w:r>
        <w:t xml:space="preserve">The purpose of this study was to analyse and compare the financial performance of State Bank of India (SBI), HDFC Bank, and ICICI Bank over the five-year period from FY2020–21 to FY2024–25. The analysis was carried out using important financial indicators such as Net Profit, Earnings </w:t>
      </w:r>
      <w:proofErr w:type="gramStart"/>
      <w:r>
        <w:t>Per</w:t>
      </w:r>
      <w:proofErr w:type="gramEnd"/>
      <w:r>
        <w:t xml:space="preserve"> Share (EPS), Return on Equity (ROE), Return on Assets (ROA), Gross Non-Performing Assets (Gross NPA), and Net Non-Performing Assets (Net NPA).</w:t>
      </w:r>
    </w:p>
    <w:p w:rsidR="00165188" w:rsidRDefault="00165188" w:rsidP="00165188">
      <w:pPr>
        <w:pStyle w:val="NormalWeb"/>
        <w:spacing w:line="360" w:lineRule="auto"/>
      </w:pPr>
      <w:r>
        <w:t>Based on the data collected from the annual reports of the selected banks, it was observed that all three banks showed improvement in their overall financial performance during the study period. SBI recorded strong growth in net profit and emerged as one of the best-performing banks in terms of profitability. HDFC Bank maintained steady performance with healthy asset quality and consistent earnings. ICICI Bank also showed considerable progress, particularly in improving profitability and reducing non-performing assets.</w:t>
      </w:r>
    </w:p>
    <w:p w:rsidR="00165188" w:rsidRDefault="00165188" w:rsidP="00165188">
      <w:pPr>
        <w:pStyle w:val="NormalWeb"/>
        <w:spacing w:line="360" w:lineRule="auto"/>
      </w:pPr>
      <w:r>
        <w:t>Another important observation was the decline in both Gross NPA and Net NPA ratios across the selected banks. This indicates better management of loans and improved control over credit risk. At the same time, the upward trend in ROE, ROA, and EPS suggests that the banks were able to utilize their resources more efficiently and generate better returns for shareholders.</w:t>
      </w:r>
    </w:p>
    <w:p w:rsidR="00165188" w:rsidRPr="00165188" w:rsidRDefault="00165188" w:rsidP="00165188">
      <w:pPr>
        <w:pStyle w:val="NormalWeb"/>
        <w:spacing w:line="360" w:lineRule="auto"/>
      </w:pPr>
      <w:r>
        <w:t xml:space="preserve">In conclusion, the study shows that SBI, HDFC Bank, and ICICI Bank have strengthened their financial position over the years and continue to play an important role in supporting the </w:t>
      </w:r>
      <w:r w:rsidRPr="00165188">
        <w:t>growth and stability of the Indian banking sector.</w:t>
      </w:r>
    </w:p>
    <w:p w:rsidR="00165188" w:rsidRPr="00165188" w:rsidRDefault="00165188" w:rsidP="00165188">
      <w:pPr>
        <w:pStyle w:val="Heading3"/>
        <w:spacing w:line="360" w:lineRule="auto"/>
        <w:rPr>
          <w:rFonts w:ascii="Times New Roman" w:hAnsi="Times New Roman" w:cs="Times New Roman"/>
          <w:b/>
          <w:color w:val="auto"/>
        </w:rPr>
      </w:pPr>
      <w:r w:rsidRPr="00165188">
        <w:rPr>
          <w:rFonts w:ascii="Times New Roman" w:hAnsi="Times New Roman" w:cs="Times New Roman"/>
          <w:b/>
          <w:color w:val="auto"/>
        </w:rPr>
        <w:t>6.2 Suggestions</w:t>
      </w:r>
    </w:p>
    <w:p w:rsidR="00165188" w:rsidRDefault="00165188" w:rsidP="00165188">
      <w:pPr>
        <w:pStyle w:val="NormalWeb"/>
        <w:numPr>
          <w:ilvl w:val="0"/>
          <w:numId w:val="7"/>
        </w:numPr>
        <w:spacing w:line="360" w:lineRule="auto"/>
      </w:pPr>
      <w:r>
        <w:t>Banks should continue to strengthen their loan evaluation and monitoring processes to keep non-performing assets under control.</w:t>
      </w:r>
    </w:p>
    <w:p w:rsidR="00165188" w:rsidRDefault="00165188" w:rsidP="00165188">
      <w:pPr>
        <w:pStyle w:val="NormalWeb"/>
        <w:numPr>
          <w:ilvl w:val="0"/>
          <w:numId w:val="7"/>
        </w:numPr>
        <w:spacing w:line="360" w:lineRule="auto"/>
      </w:pPr>
      <w:r>
        <w:t>More investment in digital banking services and technology can help improve efficiency and provide better customer experiences.</w:t>
      </w:r>
    </w:p>
    <w:p w:rsidR="00165188" w:rsidRDefault="00165188" w:rsidP="00165188">
      <w:pPr>
        <w:pStyle w:val="NormalWeb"/>
        <w:numPr>
          <w:ilvl w:val="0"/>
          <w:numId w:val="7"/>
        </w:numPr>
        <w:spacing w:line="360" w:lineRule="auto"/>
      </w:pPr>
      <w:r>
        <w:lastRenderedPageBreak/>
        <w:t>Banks should focus on maintaining a healthy balance between profitability and risk management for long-term growth.</w:t>
      </w:r>
    </w:p>
    <w:p w:rsidR="00165188" w:rsidRDefault="00165188" w:rsidP="00165188">
      <w:pPr>
        <w:pStyle w:val="NormalWeb"/>
        <w:numPr>
          <w:ilvl w:val="0"/>
          <w:numId w:val="7"/>
        </w:numPr>
        <w:spacing w:line="360" w:lineRule="auto"/>
      </w:pPr>
      <w:r>
        <w:t>Efforts should be made to further improve customer service and expand access to banking facilities, especially in underserved areas.</w:t>
      </w:r>
    </w:p>
    <w:p w:rsidR="00165188" w:rsidRDefault="00165188" w:rsidP="00165188">
      <w:pPr>
        <w:pStyle w:val="NormalWeb"/>
        <w:numPr>
          <w:ilvl w:val="0"/>
          <w:numId w:val="7"/>
        </w:numPr>
        <w:spacing w:line="360" w:lineRule="auto"/>
      </w:pPr>
      <w:r>
        <w:t>Regular review of asset quality and responsible lending practices should remain a key priority to ensure financial stability in the future.</w:t>
      </w: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pPr>
    </w:p>
    <w:p w:rsidR="00165188" w:rsidRDefault="00165188" w:rsidP="00165188">
      <w:pPr>
        <w:pStyle w:val="NormalWeb"/>
        <w:spacing w:after="0" w:line="360" w:lineRule="auto"/>
        <w:jc w:val="center"/>
        <w:rPr>
          <w:b/>
          <w:sz w:val="40"/>
        </w:rPr>
      </w:pPr>
      <w:r>
        <w:rPr>
          <w:b/>
          <w:noProof/>
          <w:sz w:val="40"/>
        </w:rPr>
        <w:lastRenderedPageBreak/>
        <mc:AlternateContent>
          <mc:Choice Requires="wps">
            <w:drawing>
              <wp:anchor distT="0" distB="0" distL="114300" distR="114300" simplePos="0" relativeHeight="251698176" behindDoc="0" locked="0" layoutInCell="1" allowOverlap="1">
                <wp:simplePos x="0" y="0"/>
                <wp:positionH relativeFrom="column">
                  <wp:posOffset>-208344</wp:posOffset>
                </wp:positionH>
                <wp:positionV relativeFrom="paragraph">
                  <wp:posOffset>381892</wp:posOffset>
                </wp:positionV>
                <wp:extent cx="6238569" cy="0"/>
                <wp:effectExtent l="0" t="0" r="29210" b="19050"/>
                <wp:wrapNone/>
                <wp:docPr id="39" name="Straight Connector 39"/>
                <wp:cNvGraphicFramePr/>
                <a:graphic xmlns:a="http://schemas.openxmlformats.org/drawingml/2006/main">
                  <a:graphicData uri="http://schemas.microsoft.com/office/word/2010/wordprocessingShape">
                    <wps:wsp>
                      <wps:cNvCnPr/>
                      <wps:spPr>
                        <a:xfrm>
                          <a:off x="0" y="0"/>
                          <a:ext cx="6238569"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7B2D6" id="Straight Connector 3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pt,30.05pt" to="474.85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" strokecolor="black [3200]" strokeweight="1.5pt">
                <v:stroke joinstyle="miter"/>
              </v:line>
            </w:pict>
          </mc:Fallback>
        </mc:AlternateContent>
      </w:r>
      <w:r>
        <w:rPr>
          <w:b/>
          <w:sz w:val="40"/>
        </w:rPr>
        <w:t>REFERENCES</w:t>
      </w:r>
    </w:p>
    <w:p w:rsidR="00165188" w:rsidRPr="00165188" w:rsidRDefault="00165188" w:rsidP="0016518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165188">
        <w:rPr>
          <w:rFonts w:ascii="Times New Roman" w:eastAsia="Times New Roman" w:hAnsi="Times New Roman" w:cs="Times New Roman"/>
          <w:sz w:val="24"/>
          <w:szCs w:val="24"/>
          <w:lang w:eastAsia="en-IN"/>
        </w:rPr>
        <w:t>State Bank of India. Annual Reports (FY2020–21 to FY2024–25).</w:t>
      </w:r>
    </w:p>
    <w:p w:rsidR="00165188" w:rsidRPr="00165188" w:rsidRDefault="00165188" w:rsidP="0016518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165188">
        <w:rPr>
          <w:rFonts w:ascii="Times New Roman" w:eastAsia="Times New Roman" w:hAnsi="Times New Roman" w:cs="Times New Roman"/>
          <w:sz w:val="24"/>
          <w:szCs w:val="24"/>
          <w:lang w:eastAsia="en-IN"/>
        </w:rPr>
        <w:t>HDFC Bank. Annual Reports (FY2020–21 to FY2024–25).</w:t>
      </w:r>
    </w:p>
    <w:p w:rsidR="00165188" w:rsidRPr="00165188" w:rsidRDefault="00165188" w:rsidP="0016518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165188">
        <w:rPr>
          <w:rFonts w:ascii="Times New Roman" w:eastAsia="Times New Roman" w:hAnsi="Times New Roman" w:cs="Times New Roman"/>
          <w:sz w:val="24"/>
          <w:szCs w:val="24"/>
          <w:lang w:eastAsia="en-IN"/>
        </w:rPr>
        <w:t>ICICI Bank. Annual Reports (FY2020–21 to FY2024–25).</w:t>
      </w:r>
    </w:p>
    <w:p w:rsidR="00165188" w:rsidRPr="00165188" w:rsidRDefault="00165188" w:rsidP="0016518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165188">
        <w:rPr>
          <w:rFonts w:ascii="Times New Roman" w:eastAsia="Times New Roman" w:hAnsi="Times New Roman" w:cs="Times New Roman"/>
          <w:sz w:val="24"/>
          <w:szCs w:val="24"/>
          <w:lang w:eastAsia="en-IN"/>
        </w:rPr>
        <w:t>Reserve Bank of India (RBI). Publications and Banking Statistics.</w:t>
      </w:r>
    </w:p>
    <w:p w:rsidR="00165188" w:rsidRDefault="00165188" w:rsidP="0016518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165188">
        <w:rPr>
          <w:rFonts w:ascii="Times New Roman" w:eastAsia="Times New Roman" w:hAnsi="Times New Roman" w:cs="Times New Roman"/>
          <w:sz w:val="24"/>
          <w:szCs w:val="24"/>
          <w:lang w:eastAsia="en-IN"/>
        </w:rPr>
        <w:t>Official websites of SBI, HDFC Bank and ICICI Bank.</w:t>
      </w:r>
    </w:p>
    <w:p w:rsidR="00E32628" w:rsidRPr="00165188" w:rsidRDefault="00E32628" w:rsidP="00E3262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E32628">
        <w:rPr>
          <w:rFonts w:ascii="Times New Roman" w:eastAsia="Times New Roman" w:hAnsi="Times New Roman" w:cs="Times New Roman"/>
          <w:sz w:val="24"/>
          <w:szCs w:val="24"/>
          <w:lang w:eastAsia="en-IN"/>
        </w:rPr>
        <w:t>Microsoft Excel (used for data analysis and graphical representation)</w:t>
      </w:r>
      <w:r>
        <w:rPr>
          <w:rFonts w:ascii="Times New Roman" w:eastAsia="Times New Roman" w:hAnsi="Times New Roman" w:cs="Times New Roman"/>
          <w:sz w:val="24"/>
          <w:szCs w:val="24"/>
          <w:lang w:eastAsia="en-IN"/>
        </w:rPr>
        <w:t>.</w:t>
      </w:r>
    </w:p>
    <w:p w:rsidR="00165188" w:rsidRDefault="00165188"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Default="005405E2" w:rsidP="00165188">
      <w:pPr>
        <w:pStyle w:val="NormalWeb"/>
        <w:spacing w:after="0" w:line="360" w:lineRule="auto"/>
        <w:rPr>
          <w:szCs w:val="40"/>
        </w:rPr>
      </w:pPr>
    </w:p>
    <w:p w:rsidR="005405E2" w:rsidRPr="00165188" w:rsidRDefault="005405E2" w:rsidP="00165188">
      <w:pPr>
        <w:pStyle w:val="NormalWeb"/>
        <w:spacing w:after="0" w:line="360" w:lineRule="auto"/>
        <w:rPr>
          <w:szCs w:val="40"/>
        </w:rPr>
      </w:pPr>
    </w:p>
    <w:sectPr w:rsidR="005405E2" w:rsidRPr="00165188" w:rsidSect="002D0AEE">
      <w:footerReference w:type="default" r:id="rId1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288" w:rsidRDefault="00A32288" w:rsidP="009F07F5">
      <w:pPr>
        <w:spacing w:after="0" w:line="240" w:lineRule="auto"/>
      </w:pPr>
      <w:r>
        <w:separator/>
      </w:r>
    </w:p>
  </w:endnote>
  <w:endnote w:type="continuationSeparator" w:id="0">
    <w:p w:rsidR="00A32288" w:rsidRDefault="00A32288" w:rsidP="009F0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3007792"/>
      <w:docPartObj>
        <w:docPartGallery w:val="Page Numbers (Bottom of Page)"/>
        <w:docPartUnique/>
      </w:docPartObj>
    </w:sdtPr>
    <w:sdtEndPr>
      <w:rPr>
        <w:noProof/>
      </w:rPr>
    </w:sdtEndPr>
    <w:sdtContent>
      <w:p w:rsidR="00A82454" w:rsidRDefault="00A82454">
        <w:pPr>
          <w:pStyle w:val="Footer"/>
          <w:jc w:val="center"/>
        </w:pPr>
        <w:r>
          <w:fldChar w:fldCharType="begin"/>
        </w:r>
        <w:r>
          <w:instrText xml:space="preserve"> PAGE   \* MERGEFORMAT </w:instrText>
        </w:r>
        <w:r>
          <w:fldChar w:fldCharType="separate"/>
        </w:r>
        <w:r w:rsidR="00776426">
          <w:rPr>
            <w:noProof/>
          </w:rPr>
          <w:t>17</w:t>
        </w:r>
        <w:r>
          <w:rPr>
            <w:noProof/>
          </w:rPr>
          <w:fldChar w:fldCharType="end"/>
        </w:r>
      </w:p>
    </w:sdtContent>
  </w:sdt>
  <w:p w:rsidR="00A82454" w:rsidRDefault="00A82454" w:rsidP="002D0AEE">
    <w:pPr>
      <w:pStyle w:val="Footer"/>
      <w:tabs>
        <w:tab w:val="clear" w:pos="4513"/>
        <w:tab w:val="clear" w:pos="9026"/>
        <w:tab w:val="left" w:pos="51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288" w:rsidRDefault="00A32288" w:rsidP="009F07F5">
      <w:pPr>
        <w:spacing w:after="0" w:line="240" w:lineRule="auto"/>
      </w:pPr>
      <w:r>
        <w:separator/>
      </w:r>
    </w:p>
  </w:footnote>
  <w:footnote w:type="continuationSeparator" w:id="0">
    <w:p w:rsidR="00A32288" w:rsidRDefault="00A32288" w:rsidP="009F0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076D7"/>
    <w:multiLevelType w:val="multilevel"/>
    <w:tmpl w:val="B7C0F650"/>
    <w:lvl w:ilvl="0">
      <w:start w:val="6"/>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1186CFD"/>
    <w:multiLevelType w:val="multilevel"/>
    <w:tmpl w:val="F4E2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B7B2C"/>
    <w:multiLevelType w:val="multilevel"/>
    <w:tmpl w:val="48DE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64EB4"/>
    <w:multiLevelType w:val="hybridMultilevel"/>
    <w:tmpl w:val="A4DE8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5975C7"/>
    <w:multiLevelType w:val="multilevel"/>
    <w:tmpl w:val="641058DE"/>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CA15442"/>
    <w:multiLevelType w:val="multilevel"/>
    <w:tmpl w:val="7DE6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55FD8"/>
    <w:multiLevelType w:val="hybridMultilevel"/>
    <w:tmpl w:val="6E006F8E"/>
    <w:lvl w:ilvl="0" w:tplc="4009000F">
      <w:start w:val="1"/>
      <w:numFmt w:val="decimal"/>
      <w:lvlText w:val="%1."/>
      <w:lvlJc w:val="left"/>
      <w:pPr>
        <w:ind w:left="5693" w:hanging="360"/>
      </w:pPr>
    </w:lvl>
    <w:lvl w:ilvl="1" w:tplc="40090019" w:tentative="1">
      <w:start w:val="1"/>
      <w:numFmt w:val="lowerLetter"/>
      <w:lvlText w:val="%2."/>
      <w:lvlJc w:val="left"/>
      <w:pPr>
        <w:ind w:left="6413" w:hanging="360"/>
      </w:pPr>
    </w:lvl>
    <w:lvl w:ilvl="2" w:tplc="4009001B" w:tentative="1">
      <w:start w:val="1"/>
      <w:numFmt w:val="lowerRoman"/>
      <w:lvlText w:val="%3."/>
      <w:lvlJc w:val="right"/>
      <w:pPr>
        <w:ind w:left="7133" w:hanging="180"/>
      </w:pPr>
    </w:lvl>
    <w:lvl w:ilvl="3" w:tplc="4009000F" w:tentative="1">
      <w:start w:val="1"/>
      <w:numFmt w:val="decimal"/>
      <w:lvlText w:val="%4."/>
      <w:lvlJc w:val="left"/>
      <w:pPr>
        <w:ind w:left="7853" w:hanging="360"/>
      </w:pPr>
    </w:lvl>
    <w:lvl w:ilvl="4" w:tplc="40090019" w:tentative="1">
      <w:start w:val="1"/>
      <w:numFmt w:val="lowerLetter"/>
      <w:lvlText w:val="%5."/>
      <w:lvlJc w:val="left"/>
      <w:pPr>
        <w:ind w:left="8573" w:hanging="360"/>
      </w:pPr>
    </w:lvl>
    <w:lvl w:ilvl="5" w:tplc="4009001B" w:tentative="1">
      <w:start w:val="1"/>
      <w:numFmt w:val="lowerRoman"/>
      <w:lvlText w:val="%6."/>
      <w:lvlJc w:val="right"/>
      <w:pPr>
        <w:ind w:left="9293" w:hanging="180"/>
      </w:pPr>
    </w:lvl>
    <w:lvl w:ilvl="6" w:tplc="4009000F" w:tentative="1">
      <w:start w:val="1"/>
      <w:numFmt w:val="decimal"/>
      <w:lvlText w:val="%7."/>
      <w:lvlJc w:val="left"/>
      <w:pPr>
        <w:ind w:left="10013" w:hanging="360"/>
      </w:pPr>
    </w:lvl>
    <w:lvl w:ilvl="7" w:tplc="40090019" w:tentative="1">
      <w:start w:val="1"/>
      <w:numFmt w:val="lowerLetter"/>
      <w:lvlText w:val="%8."/>
      <w:lvlJc w:val="left"/>
      <w:pPr>
        <w:ind w:left="10733" w:hanging="360"/>
      </w:pPr>
    </w:lvl>
    <w:lvl w:ilvl="8" w:tplc="4009001B" w:tentative="1">
      <w:start w:val="1"/>
      <w:numFmt w:val="lowerRoman"/>
      <w:lvlText w:val="%9."/>
      <w:lvlJc w:val="right"/>
      <w:pPr>
        <w:ind w:left="11453" w:hanging="180"/>
      </w:pPr>
    </w:lvl>
  </w:abstractNum>
  <w:abstractNum w:abstractNumId="7" w15:restartNumberingAfterBreak="0">
    <w:nsid w:val="34E16549"/>
    <w:multiLevelType w:val="hybridMultilevel"/>
    <w:tmpl w:val="8A265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360E25"/>
    <w:multiLevelType w:val="multilevel"/>
    <w:tmpl w:val="917A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46EBD"/>
    <w:multiLevelType w:val="hybridMultilevel"/>
    <w:tmpl w:val="2E8063B0"/>
    <w:lvl w:ilvl="0" w:tplc="4009000F">
      <w:start w:val="1"/>
      <w:numFmt w:val="decimal"/>
      <w:lvlText w:val="%1."/>
      <w:lvlJc w:val="left"/>
      <w:pPr>
        <w:ind w:left="5693" w:hanging="360"/>
      </w:pPr>
    </w:lvl>
    <w:lvl w:ilvl="1" w:tplc="40090019" w:tentative="1">
      <w:start w:val="1"/>
      <w:numFmt w:val="lowerLetter"/>
      <w:lvlText w:val="%2."/>
      <w:lvlJc w:val="left"/>
      <w:pPr>
        <w:ind w:left="6413" w:hanging="360"/>
      </w:pPr>
    </w:lvl>
    <w:lvl w:ilvl="2" w:tplc="4009001B" w:tentative="1">
      <w:start w:val="1"/>
      <w:numFmt w:val="lowerRoman"/>
      <w:lvlText w:val="%3."/>
      <w:lvlJc w:val="right"/>
      <w:pPr>
        <w:ind w:left="7133" w:hanging="180"/>
      </w:pPr>
    </w:lvl>
    <w:lvl w:ilvl="3" w:tplc="4009000F" w:tentative="1">
      <w:start w:val="1"/>
      <w:numFmt w:val="decimal"/>
      <w:lvlText w:val="%4."/>
      <w:lvlJc w:val="left"/>
      <w:pPr>
        <w:ind w:left="7853" w:hanging="360"/>
      </w:pPr>
    </w:lvl>
    <w:lvl w:ilvl="4" w:tplc="40090019" w:tentative="1">
      <w:start w:val="1"/>
      <w:numFmt w:val="lowerLetter"/>
      <w:lvlText w:val="%5."/>
      <w:lvlJc w:val="left"/>
      <w:pPr>
        <w:ind w:left="8573" w:hanging="360"/>
      </w:pPr>
    </w:lvl>
    <w:lvl w:ilvl="5" w:tplc="4009001B" w:tentative="1">
      <w:start w:val="1"/>
      <w:numFmt w:val="lowerRoman"/>
      <w:lvlText w:val="%6."/>
      <w:lvlJc w:val="right"/>
      <w:pPr>
        <w:ind w:left="9293" w:hanging="180"/>
      </w:pPr>
    </w:lvl>
    <w:lvl w:ilvl="6" w:tplc="4009000F" w:tentative="1">
      <w:start w:val="1"/>
      <w:numFmt w:val="decimal"/>
      <w:lvlText w:val="%7."/>
      <w:lvlJc w:val="left"/>
      <w:pPr>
        <w:ind w:left="10013" w:hanging="360"/>
      </w:pPr>
    </w:lvl>
    <w:lvl w:ilvl="7" w:tplc="40090019" w:tentative="1">
      <w:start w:val="1"/>
      <w:numFmt w:val="lowerLetter"/>
      <w:lvlText w:val="%8."/>
      <w:lvlJc w:val="left"/>
      <w:pPr>
        <w:ind w:left="10733" w:hanging="360"/>
      </w:pPr>
    </w:lvl>
    <w:lvl w:ilvl="8" w:tplc="4009001B" w:tentative="1">
      <w:start w:val="1"/>
      <w:numFmt w:val="lowerRoman"/>
      <w:lvlText w:val="%9."/>
      <w:lvlJc w:val="right"/>
      <w:pPr>
        <w:ind w:left="11453" w:hanging="180"/>
      </w:pPr>
    </w:lvl>
  </w:abstractNum>
  <w:abstractNum w:abstractNumId="10" w15:restartNumberingAfterBreak="0">
    <w:nsid w:val="468D428F"/>
    <w:multiLevelType w:val="multilevel"/>
    <w:tmpl w:val="5140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4604E"/>
    <w:multiLevelType w:val="hybridMultilevel"/>
    <w:tmpl w:val="95C64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B35A1B"/>
    <w:multiLevelType w:val="hybridMultilevel"/>
    <w:tmpl w:val="369C55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DB7A48"/>
    <w:multiLevelType w:val="hybridMultilevel"/>
    <w:tmpl w:val="19B6B1CC"/>
    <w:lvl w:ilvl="0" w:tplc="C2AA6EA4">
      <w:start w:val="7"/>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40B247C"/>
    <w:multiLevelType w:val="hybridMultilevel"/>
    <w:tmpl w:val="73249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63A57D3"/>
    <w:multiLevelType w:val="hybridMultilevel"/>
    <w:tmpl w:val="4A449E76"/>
    <w:lvl w:ilvl="0" w:tplc="8F66B61C">
      <w:start w:val="7"/>
      <w:numFmt w:val="decimal"/>
      <w:lvlText w:val="%1."/>
      <w:lvlJc w:val="left"/>
      <w:pPr>
        <w:ind w:left="786"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7E3165E7"/>
    <w:multiLevelType w:val="hybridMultilevel"/>
    <w:tmpl w:val="95963192"/>
    <w:lvl w:ilvl="0" w:tplc="96CE0094">
      <w:start w:val="7"/>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2"/>
  </w:num>
  <w:num w:numId="3">
    <w:abstractNumId w:val="14"/>
  </w:num>
  <w:num w:numId="4">
    <w:abstractNumId w:val="10"/>
  </w:num>
  <w:num w:numId="5">
    <w:abstractNumId w:val="5"/>
  </w:num>
  <w:num w:numId="6">
    <w:abstractNumId w:val="1"/>
  </w:num>
  <w:num w:numId="7">
    <w:abstractNumId w:val="8"/>
  </w:num>
  <w:num w:numId="8">
    <w:abstractNumId w:val="2"/>
  </w:num>
  <w:num w:numId="9">
    <w:abstractNumId w:val="7"/>
  </w:num>
  <w:num w:numId="10">
    <w:abstractNumId w:val="0"/>
  </w:num>
  <w:num w:numId="11">
    <w:abstractNumId w:val="16"/>
  </w:num>
  <w:num w:numId="12">
    <w:abstractNumId w:val="13"/>
  </w:num>
  <w:num w:numId="13">
    <w:abstractNumId w:val="9"/>
  </w:num>
  <w:num w:numId="14">
    <w:abstractNumId w:val="6"/>
  </w:num>
  <w:num w:numId="15">
    <w:abstractNumId w:val="11"/>
  </w:num>
  <w:num w:numId="16">
    <w:abstractNumId w:val="1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C87"/>
    <w:rsid w:val="00083424"/>
    <w:rsid w:val="000D43EB"/>
    <w:rsid w:val="0016410E"/>
    <w:rsid w:val="00165188"/>
    <w:rsid w:val="0016641A"/>
    <w:rsid w:val="001C6AB0"/>
    <w:rsid w:val="00256D6B"/>
    <w:rsid w:val="002A633C"/>
    <w:rsid w:val="002D0AEE"/>
    <w:rsid w:val="0030238A"/>
    <w:rsid w:val="003126BD"/>
    <w:rsid w:val="004431AE"/>
    <w:rsid w:val="004A6362"/>
    <w:rsid w:val="004B661E"/>
    <w:rsid w:val="004C0804"/>
    <w:rsid w:val="00503BCC"/>
    <w:rsid w:val="005405E2"/>
    <w:rsid w:val="00575698"/>
    <w:rsid w:val="006852D6"/>
    <w:rsid w:val="007441A2"/>
    <w:rsid w:val="0075287F"/>
    <w:rsid w:val="00776426"/>
    <w:rsid w:val="007D00E7"/>
    <w:rsid w:val="007D4F0A"/>
    <w:rsid w:val="007E729E"/>
    <w:rsid w:val="00842E4E"/>
    <w:rsid w:val="008D7106"/>
    <w:rsid w:val="00923742"/>
    <w:rsid w:val="009E7F20"/>
    <w:rsid w:val="009F07F5"/>
    <w:rsid w:val="00A32288"/>
    <w:rsid w:val="00A53FC0"/>
    <w:rsid w:val="00A80AEA"/>
    <w:rsid w:val="00A82454"/>
    <w:rsid w:val="00B121CF"/>
    <w:rsid w:val="00B60BCE"/>
    <w:rsid w:val="00BB5C31"/>
    <w:rsid w:val="00C16BA4"/>
    <w:rsid w:val="00C21C1E"/>
    <w:rsid w:val="00CE35F7"/>
    <w:rsid w:val="00D14097"/>
    <w:rsid w:val="00D36642"/>
    <w:rsid w:val="00D82AAC"/>
    <w:rsid w:val="00DA1C87"/>
    <w:rsid w:val="00E32628"/>
    <w:rsid w:val="00EB518B"/>
    <w:rsid w:val="00ED5A9C"/>
    <w:rsid w:val="00EF62A9"/>
    <w:rsid w:val="00F142C4"/>
    <w:rsid w:val="00F44E7B"/>
    <w:rsid w:val="00F728DC"/>
    <w:rsid w:val="00FA183A"/>
    <w:rsid w:val="00FF3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A02F1"/>
  <w15:chartTrackingRefBased/>
  <w15:docId w15:val="{0EDC4C54-6474-4E0B-8D89-19AE4BB6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07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752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35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44E7B"/>
    <w:pPr>
      <w:ind w:left="720"/>
      <w:contextualSpacing/>
    </w:pPr>
  </w:style>
  <w:style w:type="paragraph" w:styleId="Header">
    <w:name w:val="header"/>
    <w:basedOn w:val="Normal"/>
    <w:link w:val="HeaderChar"/>
    <w:uiPriority w:val="99"/>
    <w:unhideWhenUsed/>
    <w:rsid w:val="009F0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7F5"/>
  </w:style>
  <w:style w:type="paragraph" w:styleId="Footer">
    <w:name w:val="footer"/>
    <w:basedOn w:val="Normal"/>
    <w:link w:val="FooterChar"/>
    <w:uiPriority w:val="99"/>
    <w:unhideWhenUsed/>
    <w:rsid w:val="009F0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7F5"/>
  </w:style>
  <w:style w:type="character" w:customStyle="1" w:styleId="Heading1Char">
    <w:name w:val="Heading 1 Char"/>
    <w:basedOn w:val="DefaultParagraphFont"/>
    <w:link w:val="Heading1"/>
    <w:uiPriority w:val="9"/>
    <w:rsid w:val="009F07F5"/>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9F07F5"/>
    <w:rPr>
      <w:b/>
      <w:bCs/>
    </w:rPr>
  </w:style>
  <w:style w:type="paragraph" w:customStyle="1" w:styleId="my-2">
    <w:name w:val="my-2"/>
    <w:basedOn w:val="Normal"/>
    <w:rsid w:val="009F07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5287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82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65761">
      <w:bodyDiv w:val="1"/>
      <w:marLeft w:val="0"/>
      <w:marRight w:val="0"/>
      <w:marTop w:val="0"/>
      <w:marBottom w:val="0"/>
      <w:divBdr>
        <w:top w:val="none" w:sz="0" w:space="0" w:color="auto"/>
        <w:left w:val="none" w:sz="0" w:space="0" w:color="auto"/>
        <w:bottom w:val="none" w:sz="0" w:space="0" w:color="auto"/>
        <w:right w:val="none" w:sz="0" w:space="0" w:color="auto"/>
      </w:divBdr>
    </w:div>
    <w:div w:id="359744750">
      <w:bodyDiv w:val="1"/>
      <w:marLeft w:val="0"/>
      <w:marRight w:val="0"/>
      <w:marTop w:val="0"/>
      <w:marBottom w:val="0"/>
      <w:divBdr>
        <w:top w:val="none" w:sz="0" w:space="0" w:color="auto"/>
        <w:left w:val="none" w:sz="0" w:space="0" w:color="auto"/>
        <w:bottom w:val="none" w:sz="0" w:space="0" w:color="auto"/>
        <w:right w:val="none" w:sz="0" w:space="0" w:color="auto"/>
      </w:divBdr>
    </w:div>
    <w:div w:id="582569963">
      <w:bodyDiv w:val="1"/>
      <w:marLeft w:val="0"/>
      <w:marRight w:val="0"/>
      <w:marTop w:val="0"/>
      <w:marBottom w:val="0"/>
      <w:divBdr>
        <w:top w:val="none" w:sz="0" w:space="0" w:color="auto"/>
        <w:left w:val="none" w:sz="0" w:space="0" w:color="auto"/>
        <w:bottom w:val="none" w:sz="0" w:space="0" w:color="auto"/>
        <w:right w:val="none" w:sz="0" w:space="0" w:color="auto"/>
      </w:divBdr>
    </w:div>
    <w:div w:id="682627334">
      <w:bodyDiv w:val="1"/>
      <w:marLeft w:val="0"/>
      <w:marRight w:val="0"/>
      <w:marTop w:val="0"/>
      <w:marBottom w:val="0"/>
      <w:divBdr>
        <w:top w:val="none" w:sz="0" w:space="0" w:color="auto"/>
        <w:left w:val="none" w:sz="0" w:space="0" w:color="auto"/>
        <w:bottom w:val="none" w:sz="0" w:space="0" w:color="auto"/>
        <w:right w:val="none" w:sz="0" w:space="0" w:color="auto"/>
      </w:divBdr>
    </w:div>
    <w:div w:id="705759591">
      <w:bodyDiv w:val="1"/>
      <w:marLeft w:val="0"/>
      <w:marRight w:val="0"/>
      <w:marTop w:val="0"/>
      <w:marBottom w:val="0"/>
      <w:divBdr>
        <w:top w:val="none" w:sz="0" w:space="0" w:color="auto"/>
        <w:left w:val="none" w:sz="0" w:space="0" w:color="auto"/>
        <w:bottom w:val="none" w:sz="0" w:space="0" w:color="auto"/>
        <w:right w:val="none" w:sz="0" w:space="0" w:color="auto"/>
      </w:divBdr>
    </w:div>
    <w:div w:id="732046174">
      <w:bodyDiv w:val="1"/>
      <w:marLeft w:val="0"/>
      <w:marRight w:val="0"/>
      <w:marTop w:val="0"/>
      <w:marBottom w:val="0"/>
      <w:divBdr>
        <w:top w:val="none" w:sz="0" w:space="0" w:color="auto"/>
        <w:left w:val="none" w:sz="0" w:space="0" w:color="auto"/>
        <w:bottom w:val="none" w:sz="0" w:space="0" w:color="auto"/>
        <w:right w:val="none" w:sz="0" w:space="0" w:color="auto"/>
      </w:divBdr>
    </w:div>
    <w:div w:id="1196426303">
      <w:bodyDiv w:val="1"/>
      <w:marLeft w:val="0"/>
      <w:marRight w:val="0"/>
      <w:marTop w:val="0"/>
      <w:marBottom w:val="0"/>
      <w:divBdr>
        <w:top w:val="none" w:sz="0" w:space="0" w:color="auto"/>
        <w:left w:val="none" w:sz="0" w:space="0" w:color="auto"/>
        <w:bottom w:val="none" w:sz="0" w:space="0" w:color="auto"/>
        <w:right w:val="none" w:sz="0" w:space="0" w:color="auto"/>
      </w:divBdr>
    </w:div>
    <w:div w:id="1216507043">
      <w:bodyDiv w:val="1"/>
      <w:marLeft w:val="0"/>
      <w:marRight w:val="0"/>
      <w:marTop w:val="0"/>
      <w:marBottom w:val="0"/>
      <w:divBdr>
        <w:top w:val="none" w:sz="0" w:space="0" w:color="auto"/>
        <w:left w:val="none" w:sz="0" w:space="0" w:color="auto"/>
        <w:bottom w:val="none" w:sz="0" w:space="0" w:color="auto"/>
        <w:right w:val="none" w:sz="0" w:space="0" w:color="auto"/>
      </w:divBdr>
    </w:div>
    <w:div w:id="1321538803">
      <w:bodyDiv w:val="1"/>
      <w:marLeft w:val="0"/>
      <w:marRight w:val="0"/>
      <w:marTop w:val="0"/>
      <w:marBottom w:val="0"/>
      <w:divBdr>
        <w:top w:val="none" w:sz="0" w:space="0" w:color="auto"/>
        <w:left w:val="none" w:sz="0" w:space="0" w:color="auto"/>
        <w:bottom w:val="none" w:sz="0" w:space="0" w:color="auto"/>
        <w:right w:val="none" w:sz="0" w:space="0" w:color="auto"/>
      </w:divBdr>
    </w:div>
    <w:div w:id="1346901217">
      <w:bodyDiv w:val="1"/>
      <w:marLeft w:val="0"/>
      <w:marRight w:val="0"/>
      <w:marTop w:val="0"/>
      <w:marBottom w:val="0"/>
      <w:divBdr>
        <w:top w:val="none" w:sz="0" w:space="0" w:color="auto"/>
        <w:left w:val="none" w:sz="0" w:space="0" w:color="auto"/>
        <w:bottom w:val="none" w:sz="0" w:space="0" w:color="auto"/>
        <w:right w:val="none" w:sz="0" w:space="0" w:color="auto"/>
      </w:divBdr>
    </w:div>
    <w:div w:id="1380277916">
      <w:bodyDiv w:val="1"/>
      <w:marLeft w:val="0"/>
      <w:marRight w:val="0"/>
      <w:marTop w:val="0"/>
      <w:marBottom w:val="0"/>
      <w:divBdr>
        <w:top w:val="none" w:sz="0" w:space="0" w:color="auto"/>
        <w:left w:val="none" w:sz="0" w:space="0" w:color="auto"/>
        <w:bottom w:val="none" w:sz="0" w:space="0" w:color="auto"/>
        <w:right w:val="none" w:sz="0" w:space="0" w:color="auto"/>
      </w:divBdr>
    </w:div>
    <w:div w:id="1492140192">
      <w:bodyDiv w:val="1"/>
      <w:marLeft w:val="0"/>
      <w:marRight w:val="0"/>
      <w:marTop w:val="0"/>
      <w:marBottom w:val="0"/>
      <w:divBdr>
        <w:top w:val="none" w:sz="0" w:space="0" w:color="auto"/>
        <w:left w:val="none" w:sz="0" w:space="0" w:color="auto"/>
        <w:bottom w:val="none" w:sz="0" w:space="0" w:color="auto"/>
        <w:right w:val="none" w:sz="0" w:space="0" w:color="auto"/>
      </w:divBdr>
    </w:div>
    <w:div w:id="1814832291">
      <w:bodyDiv w:val="1"/>
      <w:marLeft w:val="0"/>
      <w:marRight w:val="0"/>
      <w:marTop w:val="0"/>
      <w:marBottom w:val="0"/>
      <w:divBdr>
        <w:top w:val="none" w:sz="0" w:space="0" w:color="auto"/>
        <w:left w:val="none" w:sz="0" w:space="0" w:color="auto"/>
        <w:bottom w:val="none" w:sz="0" w:space="0" w:color="auto"/>
        <w:right w:val="none" w:sz="0" w:space="0" w:color="auto"/>
      </w:divBdr>
    </w:div>
    <w:div w:id="1831217911">
      <w:bodyDiv w:val="1"/>
      <w:marLeft w:val="0"/>
      <w:marRight w:val="0"/>
      <w:marTop w:val="0"/>
      <w:marBottom w:val="0"/>
      <w:divBdr>
        <w:top w:val="none" w:sz="0" w:space="0" w:color="auto"/>
        <w:left w:val="none" w:sz="0" w:space="0" w:color="auto"/>
        <w:bottom w:val="none" w:sz="0" w:space="0" w:color="auto"/>
        <w:right w:val="none" w:sz="0" w:space="0" w:color="auto"/>
      </w:divBdr>
    </w:div>
    <w:div w:id="1990010570">
      <w:bodyDiv w:val="1"/>
      <w:marLeft w:val="0"/>
      <w:marRight w:val="0"/>
      <w:marTop w:val="0"/>
      <w:marBottom w:val="0"/>
      <w:divBdr>
        <w:top w:val="none" w:sz="0" w:space="0" w:color="auto"/>
        <w:left w:val="none" w:sz="0" w:space="0" w:color="auto"/>
        <w:bottom w:val="none" w:sz="0" w:space="0" w:color="auto"/>
        <w:right w:val="none" w:sz="0" w:space="0" w:color="auto"/>
      </w:divBdr>
    </w:div>
    <w:div w:id="201688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ubiya\OneDrive\Desktop\Comparative%20Financial%20Statement%20Analysis%20of%20Leading%20Indian%20Banks\excel%20data\Comparative%20Financial%20Statement%20Analysis.xlsx.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t>Net Profit Trend (FY2021–FY2025</a:t>
            </a:r>
            <a:r>
              <a:rPr lang="en-IN" sz="1400" b="0" i="0" u="none" strike="noStrike" baseline="0"/>
              <a: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827682129507198"/>
          <c:y val="0.14007790491955141"/>
          <c:w val="0.86486351706036746"/>
          <c:h val="0.61498432487605714"/>
        </c:manualLayout>
      </c:layout>
      <c:lineChart>
        <c:grouping val="standard"/>
        <c:varyColors val="0"/>
        <c:ser>
          <c:idx val="0"/>
          <c:order val="0"/>
          <c:tx>
            <c:strRef>
              <c:f>'Net Profit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'Net Profit Analysis'!$A$2:$A$6</c:f>
              <c:strCache>
                <c:ptCount val="5"/>
                <c:pt idx="0">
                  <c:v>FY21</c:v>
                </c:pt>
                <c:pt idx="1">
                  <c:v>FY22</c:v>
                </c:pt>
                <c:pt idx="2">
                  <c:v>FY23</c:v>
                </c:pt>
                <c:pt idx="3">
                  <c:v>FY24</c:v>
                </c:pt>
                <c:pt idx="4">
                  <c:v>FY25</c:v>
                </c:pt>
              </c:strCache>
            </c:strRef>
          </c:cat>
          <c:val>
            <c:numRef>
              <c:f>'Net Profit Analysis'!$B$2:$B$6</c:f>
              <c:numCache>
                <c:formatCode>General</c:formatCode>
                <c:ptCount val="5"/>
                <c:pt idx="0">
                  <c:v>20410</c:v>
                </c:pt>
                <c:pt idx="1">
                  <c:v>31676</c:v>
                </c:pt>
                <c:pt idx="2">
                  <c:v>50232</c:v>
                </c:pt>
                <c:pt idx="3">
                  <c:v>61077</c:v>
                </c:pt>
                <c:pt idx="4">
                  <c:v>70901</c:v>
                </c:pt>
              </c:numCache>
            </c:numRef>
          </c:val>
          <c:smooth val="0"/>
          <c:extLst>
            <c:ext xmlns:c16="http://schemas.microsoft.com/office/drawing/2014/chart" uri="{C3380CC4-5D6E-409C-BE32-E72D297353CC}">
              <c16:uniqueId val="{00000000-F55A-4BF6-A94A-8DD5962072CB}"/>
            </c:ext>
          </c:extLst>
        </c:ser>
        <c:ser>
          <c:idx val="1"/>
          <c:order val="1"/>
          <c:tx>
            <c:strRef>
              <c:f>'Net Profit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'Net Profit Analysis'!$A$2:$A$6</c:f>
              <c:strCache>
                <c:ptCount val="5"/>
                <c:pt idx="0">
                  <c:v>FY21</c:v>
                </c:pt>
                <c:pt idx="1">
                  <c:v>FY22</c:v>
                </c:pt>
                <c:pt idx="2">
                  <c:v>FY23</c:v>
                </c:pt>
                <c:pt idx="3">
                  <c:v>FY24</c:v>
                </c:pt>
                <c:pt idx="4">
                  <c:v>FY25</c:v>
                </c:pt>
              </c:strCache>
            </c:strRef>
          </c:cat>
          <c:val>
            <c:numRef>
              <c:f>'Net Profit Analysis'!$C$2:$C$6</c:f>
              <c:numCache>
                <c:formatCode>General</c:formatCode>
                <c:ptCount val="5"/>
                <c:pt idx="0">
                  <c:v>31116.53</c:v>
                </c:pt>
                <c:pt idx="1">
                  <c:v>36961</c:v>
                </c:pt>
                <c:pt idx="2">
                  <c:v>44108.7</c:v>
                </c:pt>
                <c:pt idx="3">
                  <c:v>60812.3</c:v>
                </c:pt>
                <c:pt idx="4">
                  <c:v>67347.399999999994</c:v>
                </c:pt>
              </c:numCache>
            </c:numRef>
          </c:val>
          <c:smooth val="0"/>
          <c:extLst>
            <c:ext xmlns:c16="http://schemas.microsoft.com/office/drawing/2014/chart" uri="{C3380CC4-5D6E-409C-BE32-E72D297353CC}">
              <c16:uniqueId val="{00000001-F55A-4BF6-A94A-8DD5962072CB}"/>
            </c:ext>
          </c:extLst>
        </c:ser>
        <c:ser>
          <c:idx val="2"/>
          <c:order val="2"/>
          <c:tx>
            <c:strRef>
              <c:f>'Net Profit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'Net Profit Analysis'!$A$2:$A$6</c:f>
              <c:strCache>
                <c:ptCount val="5"/>
                <c:pt idx="0">
                  <c:v>FY21</c:v>
                </c:pt>
                <c:pt idx="1">
                  <c:v>FY22</c:v>
                </c:pt>
                <c:pt idx="2">
                  <c:v>FY23</c:v>
                </c:pt>
                <c:pt idx="3">
                  <c:v>FY24</c:v>
                </c:pt>
                <c:pt idx="4">
                  <c:v>FY25</c:v>
                </c:pt>
              </c:strCache>
            </c:strRef>
          </c:cat>
          <c:val>
            <c:numRef>
              <c:f>'Net Profit Analysis'!$D$2:$D$6</c:f>
              <c:numCache>
                <c:formatCode>General</c:formatCode>
                <c:ptCount val="5"/>
                <c:pt idx="0">
                  <c:v>16193</c:v>
                </c:pt>
                <c:pt idx="1">
                  <c:v>23339</c:v>
                </c:pt>
                <c:pt idx="2">
                  <c:v>31896</c:v>
                </c:pt>
                <c:pt idx="3">
                  <c:v>40888</c:v>
                </c:pt>
                <c:pt idx="4">
                  <c:v>47227</c:v>
                </c:pt>
              </c:numCache>
            </c:numRef>
          </c:val>
          <c:smooth val="0"/>
          <c:extLst>
            <c:ext xmlns:c16="http://schemas.microsoft.com/office/drawing/2014/chart" uri="{C3380CC4-5D6E-409C-BE32-E72D297353CC}">
              <c16:uniqueId val="{00000002-F55A-4BF6-A94A-8DD5962072CB}"/>
            </c:ext>
          </c:extLst>
        </c:ser>
        <c:dLbls>
          <c:showLegendKey val="0"/>
          <c:showVal val="0"/>
          <c:showCatName val="0"/>
          <c:showSerName val="0"/>
          <c:showPercent val="0"/>
          <c:showBubbleSize val="0"/>
        </c:dLbls>
        <c:marker val="1"/>
        <c:smooth val="0"/>
        <c:axId val="1937195743"/>
        <c:axId val="1937197823"/>
      </c:lineChart>
      <c:catAx>
        <c:axId val="19371957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Financial</a:t>
                </a:r>
                <a:r>
                  <a:rPr lang="en-IN" b="1" baseline="0"/>
                  <a:t> Year</a:t>
                </a:r>
                <a:endParaRPr lang="en-IN" b="1"/>
              </a:p>
            </c:rich>
          </c:tx>
          <c:layout>
            <c:manualLayout>
              <c:xMode val="edge"/>
              <c:yMode val="edge"/>
              <c:x val="0.42008902012248467"/>
              <c:y val="0.8339114902303876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7197823"/>
        <c:crosses val="autoZero"/>
        <c:auto val="1"/>
        <c:lblAlgn val="ctr"/>
        <c:lblOffset val="100"/>
        <c:noMultiLvlLbl val="0"/>
      </c:catAx>
      <c:valAx>
        <c:axId val="1937197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Net</a:t>
                </a:r>
                <a:r>
                  <a:rPr lang="en-IN" b="1" baseline="0"/>
                  <a:t> proft ( ₹ Crore</a:t>
                </a:r>
                <a:r>
                  <a:rPr lang="en-IN" baseline="0"/>
                  <a:t>)</a:t>
                </a:r>
                <a:endParaRPr lang="en-IN"/>
              </a:p>
            </c:rich>
          </c:tx>
          <c:layout>
            <c:manualLayout>
              <c:xMode val="edge"/>
              <c:yMode val="edge"/>
              <c:x val="1.0080021229188305E-2"/>
              <c:y val="0.279623991070547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7195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t>Gross NPA Trend (FY2021–FY2025)</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'Gross NPA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'Gross NPA Analysis'!$A$2:$A$6</c:f>
              <c:strCache>
                <c:ptCount val="5"/>
                <c:pt idx="0">
                  <c:v>FY21</c:v>
                </c:pt>
                <c:pt idx="1">
                  <c:v>FY22</c:v>
                </c:pt>
                <c:pt idx="2">
                  <c:v>FY23</c:v>
                </c:pt>
                <c:pt idx="3">
                  <c:v>FY24</c:v>
                </c:pt>
                <c:pt idx="4">
                  <c:v>FY25</c:v>
                </c:pt>
              </c:strCache>
            </c:strRef>
          </c:cat>
          <c:val>
            <c:numRef>
              <c:f>'Gross NPA Analysis'!$B$2:$B$6</c:f>
              <c:numCache>
                <c:formatCode>General</c:formatCode>
                <c:ptCount val="5"/>
                <c:pt idx="0">
                  <c:v>4.9800000000000004</c:v>
                </c:pt>
                <c:pt idx="1">
                  <c:v>3.97</c:v>
                </c:pt>
                <c:pt idx="2">
                  <c:v>2.78</c:v>
                </c:pt>
                <c:pt idx="3">
                  <c:v>2.2400000000000002</c:v>
                </c:pt>
                <c:pt idx="4">
                  <c:v>1.82</c:v>
                </c:pt>
              </c:numCache>
            </c:numRef>
          </c:val>
          <c:smooth val="0"/>
          <c:extLst>
            <c:ext xmlns:c16="http://schemas.microsoft.com/office/drawing/2014/chart" uri="{C3380CC4-5D6E-409C-BE32-E72D297353CC}">
              <c16:uniqueId val="{00000000-2FAB-4B27-A358-36F3147F6D46}"/>
            </c:ext>
          </c:extLst>
        </c:ser>
        <c:ser>
          <c:idx val="1"/>
          <c:order val="1"/>
          <c:tx>
            <c:strRef>
              <c:f>'Gross NPA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'Gross NPA Analysis'!$A$2:$A$6</c:f>
              <c:strCache>
                <c:ptCount val="5"/>
                <c:pt idx="0">
                  <c:v>FY21</c:v>
                </c:pt>
                <c:pt idx="1">
                  <c:v>FY22</c:v>
                </c:pt>
                <c:pt idx="2">
                  <c:v>FY23</c:v>
                </c:pt>
                <c:pt idx="3">
                  <c:v>FY24</c:v>
                </c:pt>
                <c:pt idx="4">
                  <c:v>FY25</c:v>
                </c:pt>
              </c:strCache>
            </c:strRef>
          </c:cat>
          <c:val>
            <c:numRef>
              <c:f>'Gross NPA Analysis'!$C$2:$C$6</c:f>
              <c:numCache>
                <c:formatCode>General</c:formatCode>
                <c:ptCount val="5"/>
                <c:pt idx="0">
                  <c:v>1.32</c:v>
                </c:pt>
                <c:pt idx="1">
                  <c:v>1.17</c:v>
                </c:pt>
                <c:pt idx="2">
                  <c:v>1.1200000000000001</c:v>
                </c:pt>
                <c:pt idx="3">
                  <c:v>1.24</c:v>
                </c:pt>
                <c:pt idx="4">
                  <c:v>1.33</c:v>
                </c:pt>
              </c:numCache>
            </c:numRef>
          </c:val>
          <c:smooth val="0"/>
          <c:extLst>
            <c:ext xmlns:c16="http://schemas.microsoft.com/office/drawing/2014/chart" uri="{C3380CC4-5D6E-409C-BE32-E72D297353CC}">
              <c16:uniqueId val="{00000001-2FAB-4B27-A358-36F3147F6D46}"/>
            </c:ext>
          </c:extLst>
        </c:ser>
        <c:ser>
          <c:idx val="2"/>
          <c:order val="2"/>
          <c:tx>
            <c:strRef>
              <c:f>'Gross NPA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'Gross NPA Analysis'!$A$2:$A$6</c:f>
              <c:strCache>
                <c:ptCount val="5"/>
                <c:pt idx="0">
                  <c:v>FY21</c:v>
                </c:pt>
                <c:pt idx="1">
                  <c:v>FY22</c:v>
                </c:pt>
                <c:pt idx="2">
                  <c:v>FY23</c:v>
                </c:pt>
                <c:pt idx="3">
                  <c:v>FY24</c:v>
                </c:pt>
                <c:pt idx="4">
                  <c:v>FY25</c:v>
                </c:pt>
              </c:strCache>
            </c:strRef>
          </c:cat>
          <c:val>
            <c:numRef>
              <c:f>'Gross NPA Analysis'!$D$2:$D$6</c:f>
              <c:numCache>
                <c:formatCode>General</c:formatCode>
                <c:ptCount val="5"/>
                <c:pt idx="0">
                  <c:v>5.33</c:v>
                </c:pt>
                <c:pt idx="1">
                  <c:v>3.76</c:v>
                </c:pt>
                <c:pt idx="2">
                  <c:v>2.87</c:v>
                </c:pt>
                <c:pt idx="3">
                  <c:v>2.2599999999999998</c:v>
                </c:pt>
                <c:pt idx="4">
                  <c:v>1.73</c:v>
                </c:pt>
              </c:numCache>
            </c:numRef>
          </c:val>
          <c:smooth val="0"/>
          <c:extLst>
            <c:ext xmlns:c16="http://schemas.microsoft.com/office/drawing/2014/chart" uri="{C3380CC4-5D6E-409C-BE32-E72D297353CC}">
              <c16:uniqueId val="{00000002-2FAB-4B27-A358-36F3147F6D46}"/>
            </c:ext>
          </c:extLst>
        </c:ser>
        <c:dLbls>
          <c:showLegendKey val="0"/>
          <c:showVal val="0"/>
          <c:showCatName val="0"/>
          <c:showSerName val="0"/>
          <c:showPercent val="0"/>
          <c:showBubbleSize val="0"/>
        </c:dLbls>
        <c:marker val="1"/>
        <c:smooth val="0"/>
        <c:axId val="34856639"/>
        <c:axId val="34865375"/>
      </c:lineChart>
      <c:catAx>
        <c:axId val="34856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1" i="0" u="none" strike="noStrike" baseline="0"/>
                  <a:t>Financial Year</a:t>
                </a:r>
                <a:endParaRPr lang="en-IN" b="1"/>
              </a:p>
            </c:rich>
          </c:tx>
          <c:layout>
            <c:manualLayout>
              <c:xMode val="edge"/>
              <c:yMode val="edge"/>
              <c:x val="0.40964029860032058"/>
              <c:y val="0.803457943011701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65375"/>
        <c:crosses val="autoZero"/>
        <c:auto val="1"/>
        <c:lblAlgn val="ctr"/>
        <c:lblOffset val="100"/>
        <c:noMultiLvlLbl val="0"/>
      </c:catAx>
      <c:valAx>
        <c:axId val="348653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1" i="0" u="none" strike="noStrike" baseline="0"/>
                  <a:t>Gross NPA (%)</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56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Net</a:t>
            </a:r>
            <a:r>
              <a:rPr lang="en-IN" b="1" baseline="0"/>
              <a:t> NPA Trend (FY2021-FY2025)</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'Net NPA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'Net NPA Analysis'!$A$2:$A$6</c:f>
              <c:strCache>
                <c:ptCount val="5"/>
                <c:pt idx="0">
                  <c:v>FY21</c:v>
                </c:pt>
                <c:pt idx="1">
                  <c:v>FY22</c:v>
                </c:pt>
                <c:pt idx="2">
                  <c:v>FY23</c:v>
                </c:pt>
                <c:pt idx="3">
                  <c:v>FY24</c:v>
                </c:pt>
                <c:pt idx="4">
                  <c:v>FY25</c:v>
                </c:pt>
              </c:strCache>
            </c:strRef>
          </c:cat>
          <c:val>
            <c:numRef>
              <c:f>'Net NPA Analysis'!$B$2:$B$6</c:f>
              <c:numCache>
                <c:formatCode>General</c:formatCode>
                <c:ptCount val="5"/>
                <c:pt idx="0">
                  <c:v>1.5</c:v>
                </c:pt>
                <c:pt idx="1">
                  <c:v>1.02</c:v>
                </c:pt>
                <c:pt idx="2">
                  <c:v>0.67</c:v>
                </c:pt>
                <c:pt idx="3">
                  <c:v>0.56999999999999995</c:v>
                </c:pt>
                <c:pt idx="4">
                  <c:v>0.47</c:v>
                </c:pt>
              </c:numCache>
            </c:numRef>
          </c:val>
          <c:smooth val="0"/>
          <c:extLst>
            <c:ext xmlns:c16="http://schemas.microsoft.com/office/drawing/2014/chart" uri="{C3380CC4-5D6E-409C-BE32-E72D297353CC}">
              <c16:uniqueId val="{00000000-314F-42CA-9106-F579CFF4A98F}"/>
            </c:ext>
          </c:extLst>
        </c:ser>
        <c:ser>
          <c:idx val="1"/>
          <c:order val="1"/>
          <c:tx>
            <c:strRef>
              <c:f>'Net NPA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'Net NPA Analysis'!$A$2:$A$6</c:f>
              <c:strCache>
                <c:ptCount val="5"/>
                <c:pt idx="0">
                  <c:v>FY21</c:v>
                </c:pt>
                <c:pt idx="1">
                  <c:v>FY22</c:v>
                </c:pt>
                <c:pt idx="2">
                  <c:v>FY23</c:v>
                </c:pt>
                <c:pt idx="3">
                  <c:v>FY24</c:v>
                </c:pt>
                <c:pt idx="4">
                  <c:v>FY25</c:v>
                </c:pt>
              </c:strCache>
            </c:strRef>
          </c:cat>
          <c:val>
            <c:numRef>
              <c:f>'Net NPA Analysis'!$C$2:$C$6</c:f>
              <c:numCache>
                <c:formatCode>General</c:formatCode>
                <c:ptCount val="5"/>
                <c:pt idx="0">
                  <c:v>0.4</c:v>
                </c:pt>
                <c:pt idx="1">
                  <c:v>0.32</c:v>
                </c:pt>
                <c:pt idx="2">
                  <c:v>0.27</c:v>
                </c:pt>
                <c:pt idx="3">
                  <c:v>0.33</c:v>
                </c:pt>
                <c:pt idx="4">
                  <c:v>0.43</c:v>
                </c:pt>
              </c:numCache>
            </c:numRef>
          </c:val>
          <c:smooth val="0"/>
          <c:extLst>
            <c:ext xmlns:c16="http://schemas.microsoft.com/office/drawing/2014/chart" uri="{C3380CC4-5D6E-409C-BE32-E72D297353CC}">
              <c16:uniqueId val="{00000001-314F-42CA-9106-F579CFF4A98F}"/>
            </c:ext>
          </c:extLst>
        </c:ser>
        <c:ser>
          <c:idx val="2"/>
          <c:order val="2"/>
          <c:tx>
            <c:strRef>
              <c:f>'Net NPA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'Net NPA Analysis'!$A$2:$A$6</c:f>
              <c:strCache>
                <c:ptCount val="5"/>
                <c:pt idx="0">
                  <c:v>FY21</c:v>
                </c:pt>
                <c:pt idx="1">
                  <c:v>FY22</c:v>
                </c:pt>
                <c:pt idx="2">
                  <c:v>FY23</c:v>
                </c:pt>
                <c:pt idx="3">
                  <c:v>FY24</c:v>
                </c:pt>
                <c:pt idx="4">
                  <c:v>FY25</c:v>
                </c:pt>
              </c:strCache>
            </c:strRef>
          </c:cat>
          <c:val>
            <c:numRef>
              <c:f>'Net NPA Analysis'!$D$2:$D$6</c:f>
              <c:numCache>
                <c:formatCode>General</c:formatCode>
                <c:ptCount val="5"/>
                <c:pt idx="0">
                  <c:v>1.24</c:v>
                </c:pt>
                <c:pt idx="1">
                  <c:v>0.81</c:v>
                </c:pt>
                <c:pt idx="2">
                  <c:v>0.51</c:v>
                </c:pt>
                <c:pt idx="3">
                  <c:v>0.45</c:v>
                </c:pt>
                <c:pt idx="4">
                  <c:v>0.42</c:v>
                </c:pt>
              </c:numCache>
            </c:numRef>
          </c:val>
          <c:smooth val="0"/>
          <c:extLst>
            <c:ext xmlns:c16="http://schemas.microsoft.com/office/drawing/2014/chart" uri="{C3380CC4-5D6E-409C-BE32-E72D297353CC}">
              <c16:uniqueId val="{00000002-314F-42CA-9106-F579CFF4A98F}"/>
            </c:ext>
          </c:extLst>
        </c:ser>
        <c:dLbls>
          <c:showLegendKey val="0"/>
          <c:showVal val="0"/>
          <c:showCatName val="0"/>
          <c:showSerName val="0"/>
          <c:showPercent val="0"/>
          <c:showBubbleSize val="0"/>
        </c:dLbls>
        <c:marker val="1"/>
        <c:smooth val="0"/>
        <c:axId val="39027775"/>
        <c:axId val="39026111"/>
      </c:lineChart>
      <c:catAx>
        <c:axId val="390277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Financial</a:t>
                </a:r>
                <a:r>
                  <a:rPr lang="en-IN" b="1" baseline="0"/>
                  <a:t> Year</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026111"/>
        <c:crosses val="autoZero"/>
        <c:auto val="1"/>
        <c:lblAlgn val="ctr"/>
        <c:lblOffset val="100"/>
        <c:noMultiLvlLbl val="0"/>
      </c:catAx>
      <c:valAx>
        <c:axId val="390261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Net</a:t>
                </a:r>
                <a:r>
                  <a:rPr lang="en-IN" b="1" baseline="0"/>
                  <a:t> NPA (%)</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0277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ROE</a:t>
            </a:r>
            <a:r>
              <a:rPr lang="en-IN" b="1" baseline="0"/>
              <a:t> Trend (FY2021-FY2025)</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'ROE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'ROE Analysis'!$A$2:$A$6</c:f>
              <c:strCache>
                <c:ptCount val="5"/>
                <c:pt idx="0">
                  <c:v>FY21</c:v>
                </c:pt>
                <c:pt idx="1">
                  <c:v>FY22</c:v>
                </c:pt>
                <c:pt idx="2">
                  <c:v>FY23</c:v>
                </c:pt>
                <c:pt idx="3">
                  <c:v>FY24</c:v>
                </c:pt>
                <c:pt idx="4">
                  <c:v>FY25</c:v>
                </c:pt>
              </c:strCache>
            </c:strRef>
          </c:cat>
          <c:val>
            <c:numRef>
              <c:f>'ROE Analysis'!$B$2:$B$6</c:f>
              <c:numCache>
                <c:formatCode>General</c:formatCode>
                <c:ptCount val="5"/>
                <c:pt idx="0">
                  <c:v>8.0399999999999991</c:v>
                </c:pt>
                <c:pt idx="1">
                  <c:v>11.31</c:v>
                </c:pt>
                <c:pt idx="2">
                  <c:v>15.33</c:v>
                </c:pt>
                <c:pt idx="3">
                  <c:v>16.190000000000001</c:v>
                </c:pt>
                <c:pt idx="4">
                  <c:v>16.07</c:v>
                </c:pt>
              </c:numCache>
            </c:numRef>
          </c:val>
          <c:smooth val="0"/>
          <c:extLst>
            <c:ext xmlns:c16="http://schemas.microsoft.com/office/drawing/2014/chart" uri="{C3380CC4-5D6E-409C-BE32-E72D297353CC}">
              <c16:uniqueId val="{00000000-2B94-4CC7-97C9-DEE8DC5B5158}"/>
            </c:ext>
          </c:extLst>
        </c:ser>
        <c:ser>
          <c:idx val="1"/>
          <c:order val="1"/>
          <c:tx>
            <c:strRef>
              <c:f>'ROE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'ROE Analysis'!$A$2:$A$6</c:f>
              <c:strCache>
                <c:ptCount val="5"/>
                <c:pt idx="0">
                  <c:v>FY21</c:v>
                </c:pt>
                <c:pt idx="1">
                  <c:v>FY22</c:v>
                </c:pt>
                <c:pt idx="2">
                  <c:v>FY23</c:v>
                </c:pt>
                <c:pt idx="3">
                  <c:v>FY24</c:v>
                </c:pt>
                <c:pt idx="4">
                  <c:v>FY25</c:v>
                </c:pt>
              </c:strCache>
            </c:strRef>
          </c:cat>
          <c:val>
            <c:numRef>
              <c:f>'ROE Analysis'!$C$2:$C$6</c:f>
              <c:numCache>
                <c:formatCode>General</c:formatCode>
                <c:ptCount val="5"/>
                <c:pt idx="0">
                  <c:v>15.27</c:v>
                </c:pt>
                <c:pt idx="1">
                  <c:v>15.39</c:v>
                </c:pt>
                <c:pt idx="2">
                  <c:v>15.74</c:v>
                </c:pt>
                <c:pt idx="3">
                  <c:v>13.9</c:v>
                </c:pt>
                <c:pt idx="4">
                  <c:v>13.53</c:v>
                </c:pt>
              </c:numCache>
            </c:numRef>
          </c:val>
          <c:smooth val="0"/>
          <c:extLst>
            <c:ext xmlns:c16="http://schemas.microsoft.com/office/drawing/2014/chart" uri="{C3380CC4-5D6E-409C-BE32-E72D297353CC}">
              <c16:uniqueId val="{00000001-2B94-4CC7-97C9-DEE8DC5B5158}"/>
            </c:ext>
          </c:extLst>
        </c:ser>
        <c:ser>
          <c:idx val="2"/>
          <c:order val="2"/>
          <c:tx>
            <c:strRef>
              <c:f>'ROE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'ROE Analysis'!$A$2:$A$6</c:f>
              <c:strCache>
                <c:ptCount val="5"/>
                <c:pt idx="0">
                  <c:v>FY21</c:v>
                </c:pt>
                <c:pt idx="1">
                  <c:v>FY22</c:v>
                </c:pt>
                <c:pt idx="2">
                  <c:v>FY23</c:v>
                </c:pt>
                <c:pt idx="3">
                  <c:v>FY24</c:v>
                </c:pt>
                <c:pt idx="4">
                  <c:v>FY25</c:v>
                </c:pt>
              </c:strCache>
            </c:strRef>
          </c:cat>
          <c:val>
            <c:numRef>
              <c:f>'ROE Analysis'!$D$2:$D$6</c:f>
              <c:numCache>
                <c:formatCode>General</c:formatCode>
                <c:ptCount val="5"/>
                <c:pt idx="0">
                  <c:v>10.98</c:v>
                </c:pt>
                <c:pt idx="1">
                  <c:v>13.69</c:v>
                </c:pt>
                <c:pt idx="2">
                  <c:v>15.81</c:v>
                </c:pt>
                <c:pt idx="3">
                  <c:v>17.149999999999999</c:v>
                </c:pt>
                <c:pt idx="4">
                  <c:v>16.170000000000002</c:v>
                </c:pt>
              </c:numCache>
            </c:numRef>
          </c:val>
          <c:smooth val="0"/>
          <c:extLst>
            <c:ext xmlns:c16="http://schemas.microsoft.com/office/drawing/2014/chart" uri="{C3380CC4-5D6E-409C-BE32-E72D297353CC}">
              <c16:uniqueId val="{00000002-2B94-4CC7-97C9-DEE8DC5B5158}"/>
            </c:ext>
          </c:extLst>
        </c:ser>
        <c:dLbls>
          <c:showLegendKey val="0"/>
          <c:showVal val="0"/>
          <c:showCatName val="0"/>
          <c:showSerName val="0"/>
          <c:showPercent val="0"/>
          <c:showBubbleSize val="0"/>
        </c:dLbls>
        <c:marker val="1"/>
        <c:smooth val="0"/>
        <c:axId val="34864543"/>
        <c:axId val="34862463"/>
      </c:lineChart>
      <c:catAx>
        <c:axId val="34864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Financial</a:t>
                </a:r>
                <a:r>
                  <a:rPr lang="en-IN" b="1" baseline="0"/>
                  <a:t> Year</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62463"/>
        <c:crosses val="autoZero"/>
        <c:auto val="1"/>
        <c:lblAlgn val="ctr"/>
        <c:lblOffset val="100"/>
        <c:noMultiLvlLbl val="0"/>
      </c:catAx>
      <c:valAx>
        <c:axId val="34862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1" i="0" u="none" strike="noStrike" baseline="0"/>
                  <a:t>Return on Equity (%)</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64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ROA</a:t>
            </a:r>
            <a:r>
              <a:rPr lang="en-IN" b="1" baseline="0"/>
              <a:t> Trend (FY2021-FY2025)</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'ROA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'ROA Analysis'!$A$2:$A$6</c:f>
              <c:strCache>
                <c:ptCount val="5"/>
                <c:pt idx="0">
                  <c:v>FY21</c:v>
                </c:pt>
                <c:pt idx="1">
                  <c:v>FY22</c:v>
                </c:pt>
                <c:pt idx="2">
                  <c:v>FY23</c:v>
                </c:pt>
                <c:pt idx="3">
                  <c:v>FY24</c:v>
                </c:pt>
                <c:pt idx="4">
                  <c:v>FY25</c:v>
                </c:pt>
              </c:strCache>
            </c:strRef>
          </c:cat>
          <c:val>
            <c:numRef>
              <c:f>'ROA Analysis'!$B$2:$B$6</c:f>
              <c:numCache>
                <c:formatCode>General</c:formatCode>
                <c:ptCount val="5"/>
                <c:pt idx="0">
                  <c:v>0.45</c:v>
                </c:pt>
                <c:pt idx="1">
                  <c:v>0.64</c:v>
                </c:pt>
                <c:pt idx="2">
                  <c:v>0.91</c:v>
                </c:pt>
                <c:pt idx="3">
                  <c:v>0.99</c:v>
                </c:pt>
                <c:pt idx="4">
                  <c:v>1.06</c:v>
                </c:pt>
              </c:numCache>
            </c:numRef>
          </c:val>
          <c:smooth val="0"/>
          <c:extLst>
            <c:ext xmlns:c16="http://schemas.microsoft.com/office/drawing/2014/chart" uri="{C3380CC4-5D6E-409C-BE32-E72D297353CC}">
              <c16:uniqueId val="{00000000-3B12-4056-9983-F12D28FB1B2D}"/>
            </c:ext>
          </c:extLst>
        </c:ser>
        <c:ser>
          <c:idx val="1"/>
          <c:order val="1"/>
          <c:tx>
            <c:strRef>
              <c:f>'ROA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'ROA Analysis'!$A$2:$A$6</c:f>
              <c:strCache>
                <c:ptCount val="5"/>
                <c:pt idx="0">
                  <c:v>FY21</c:v>
                </c:pt>
                <c:pt idx="1">
                  <c:v>FY22</c:v>
                </c:pt>
                <c:pt idx="2">
                  <c:v>FY23</c:v>
                </c:pt>
                <c:pt idx="3">
                  <c:v>FY24</c:v>
                </c:pt>
                <c:pt idx="4">
                  <c:v>FY25</c:v>
                </c:pt>
              </c:strCache>
            </c:strRef>
          </c:cat>
          <c:val>
            <c:numRef>
              <c:f>'ROA Analysis'!$C$2:$C$6</c:f>
              <c:numCache>
                <c:formatCode>General</c:formatCode>
                <c:ptCount val="5"/>
                <c:pt idx="0">
                  <c:v>1.78</c:v>
                </c:pt>
                <c:pt idx="1">
                  <c:v>1.79</c:v>
                </c:pt>
                <c:pt idx="2">
                  <c:v>1.79</c:v>
                </c:pt>
                <c:pt idx="3">
                  <c:v>1.68</c:v>
                </c:pt>
                <c:pt idx="4">
                  <c:v>1.72</c:v>
                </c:pt>
              </c:numCache>
            </c:numRef>
          </c:val>
          <c:smooth val="0"/>
          <c:extLst>
            <c:ext xmlns:c16="http://schemas.microsoft.com/office/drawing/2014/chart" uri="{C3380CC4-5D6E-409C-BE32-E72D297353CC}">
              <c16:uniqueId val="{00000001-3B12-4056-9983-F12D28FB1B2D}"/>
            </c:ext>
          </c:extLst>
        </c:ser>
        <c:ser>
          <c:idx val="2"/>
          <c:order val="2"/>
          <c:tx>
            <c:strRef>
              <c:f>'ROA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'ROA Analysis'!$A$2:$A$6</c:f>
              <c:strCache>
                <c:ptCount val="5"/>
                <c:pt idx="0">
                  <c:v>FY21</c:v>
                </c:pt>
                <c:pt idx="1">
                  <c:v>FY22</c:v>
                </c:pt>
                <c:pt idx="2">
                  <c:v>FY23</c:v>
                </c:pt>
                <c:pt idx="3">
                  <c:v>FY24</c:v>
                </c:pt>
                <c:pt idx="4">
                  <c:v>FY25</c:v>
                </c:pt>
              </c:strCache>
            </c:strRef>
          </c:cat>
          <c:val>
            <c:numRef>
              <c:f>'ROA Analysis'!$D$2:$D$6</c:f>
              <c:numCache>
                <c:formatCode>General</c:formatCode>
                <c:ptCount val="5"/>
                <c:pt idx="0">
                  <c:v>1.32</c:v>
                </c:pt>
                <c:pt idx="1">
                  <c:v>1.65</c:v>
                </c:pt>
                <c:pt idx="2">
                  <c:v>1.01</c:v>
                </c:pt>
                <c:pt idx="3">
                  <c:v>2.1800000000000002</c:v>
                </c:pt>
                <c:pt idx="4">
                  <c:v>2.23</c:v>
                </c:pt>
              </c:numCache>
            </c:numRef>
          </c:val>
          <c:smooth val="0"/>
          <c:extLst>
            <c:ext xmlns:c16="http://schemas.microsoft.com/office/drawing/2014/chart" uri="{C3380CC4-5D6E-409C-BE32-E72D297353CC}">
              <c16:uniqueId val="{00000002-3B12-4056-9983-F12D28FB1B2D}"/>
            </c:ext>
          </c:extLst>
        </c:ser>
        <c:dLbls>
          <c:showLegendKey val="0"/>
          <c:showVal val="0"/>
          <c:showCatName val="0"/>
          <c:showSerName val="0"/>
          <c:showPercent val="0"/>
          <c:showBubbleSize val="0"/>
        </c:dLbls>
        <c:marker val="1"/>
        <c:smooth val="0"/>
        <c:axId val="34859967"/>
        <c:axId val="34863295"/>
      </c:lineChart>
      <c:catAx>
        <c:axId val="34859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Financial</a:t>
                </a:r>
                <a:r>
                  <a:rPr lang="en-IN" b="1" baseline="0"/>
                  <a:t> Year</a:t>
                </a:r>
                <a:endParaRPr lang="en-IN"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63295"/>
        <c:crosses val="autoZero"/>
        <c:auto val="1"/>
        <c:lblAlgn val="ctr"/>
        <c:lblOffset val="100"/>
        <c:noMultiLvlLbl val="0"/>
      </c:catAx>
      <c:valAx>
        <c:axId val="34863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1" i="0" u="none" strike="noStrike" baseline="0"/>
                  <a:t>Return on Assets (%)</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59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IN" b="1"/>
              <a:t>EPS</a:t>
            </a:r>
            <a:r>
              <a:rPr lang="en-IN" b="1" baseline="0"/>
              <a:t> Analysis Trend (FY2021-FY2025</a:t>
            </a:r>
            <a:r>
              <a:rPr lang="en-IN" baseline="0"/>
              <a:t>)</a:t>
            </a:r>
            <a:endParaRPr lang="en-IN"/>
          </a:p>
        </c:rich>
      </c:tx>
      <c:layout>
        <c:manualLayout>
          <c:xMode val="edge"/>
          <c:yMode val="edge"/>
          <c:x val="0.21375000000000002"/>
          <c:y val="3.7037037037037035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287627727818766"/>
          <c:y val="0.17583250249252244"/>
          <c:w val="0.84994645280210879"/>
          <c:h val="0.58377497428972924"/>
        </c:manualLayout>
      </c:layout>
      <c:lineChart>
        <c:grouping val="standard"/>
        <c:varyColors val="0"/>
        <c:ser>
          <c:idx val="0"/>
          <c:order val="0"/>
          <c:tx>
            <c:strRef>
              <c:f>'EPS Analysis'!$B$1</c:f>
              <c:strCache>
                <c:ptCount val="1"/>
                <c:pt idx="0">
                  <c:v>SBI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'EPS Analysis'!$A$2:$A$6</c:f>
              <c:strCache>
                <c:ptCount val="5"/>
                <c:pt idx="0">
                  <c:v>FY21</c:v>
                </c:pt>
                <c:pt idx="1">
                  <c:v>FY22</c:v>
                </c:pt>
                <c:pt idx="2">
                  <c:v>FY23</c:v>
                </c:pt>
                <c:pt idx="3">
                  <c:v>FY24</c:v>
                </c:pt>
                <c:pt idx="4">
                  <c:v>FY25</c:v>
                </c:pt>
              </c:strCache>
            </c:strRef>
          </c:cat>
          <c:val>
            <c:numRef>
              <c:f>'EPS Analysis'!$B$2:$B$6</c:f>
              <c:numCache>
                <c:formatCode>General</c:formatCode>
                <c:ptCount val="5"/>
                <c:pt idx="0">
                  <c:v>22.87</c:v>
                </c:pt>
                <c:pt idx="1">
                  <c:v>35.49</c:v>
                </c:pt>
                <c:pt idx="2">
                  <c:v>56.29</c:v>
                </c:pt>
                <c:pt idx="3">
                  <c:v>68.44</c:v>
                </c:pt>
                <c:pt idx="4">
                  <c:v>79.44</c:v>
                </c:pt>
              </c:numCache>
            </c:numRef>
          </c:val>
          <c:smooth val="0"/>
          <c:extLst>
            <c:ext xmlns:c16="http://schemas.microsoft.com/office/drawing/2014/chart" uri="{C3380CC4-5D6E-409C-BE32-E72D297353CC}">
              <c16:uniqueId val="{00000000-4265-436E-8A8C-11455EECDDFE}"/>
            </c:ext>
          </c:extLst>
        </c:ser>
        <c:ser>
          <c:idx val="1"/>
          <c:order val="1"/>
          <c:tx>
            <c:strRef>
              <c:f>'EPS Analysis'!$C$1</c:f>
              <c:strCache>
                <c:ptCount val="1"/>
                <c:pt idx="0">
                  <c:v>HDFC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'EPS Analysis'!$A$2:$A$6</c:f>
              <c:strCache>
                <c:ptCount val="5"/>
                <c:pt idx="0">
                  <c:v>FY21</c:v>
                </c:pt>
                <c:pt idx="1">
                  <c:v>FY22</c:v>
                </c:pt>
                <c:pt idx="2">
                  <c:v>FY23</c:v>
                </c:pt>
                <c:pt idx="3">
                  <c:v>FY24</c:v>
                </c:pt>
                <c:pt idx="4">
                  <c:v>FY25</c:v>
                </c:pt>
              </c:strCache>
            </c:strRef>
          </c:cat>
          <c:val>
            <c:numRef>
              <c:f>'EPS Analysis'!$C$2:$C$6</c:f>
              <c:numCache>
                <c:formatCode>General</c:formatCode>
                <c:ptCount val="5"/>
                <c:pt idx="0">
                  <c:v>57.88</c:v>
                </c:pt>
                <c:pt idx="1">
                  <c:v>66.8</c:v>
                </c:pt>
                <c:pt idx="2">
                  <c:v>79.3</c:v>
                </c:pt>
                <c:pt idx="3">
                  <c:v>85.8</c:v>
                </c:pt>
                <c:pt idx="4">
                  <c:v>88.3</c:v>
                </c:pt>
              </c:numCache>
            </c:numRef>
          </c:val>
          <c:smooth val="0"/>
          <c:extLst>
            <c:ext xmlns:c16="http://schemas.microsoft.com/office/drawing/2014/chart" uri="{C3380CC4-5D6E-409C-BE32-E72D297353CC}">
              <c16:uniqueId val="{00000001-4265-436E-8A8C-11455EECDDFE}"/>
            </c:ext>
          </c:extLst>
        </c:ser>
        <c:ser>
          <c:idx val="2"/>
          <c:order val="2"/>
          <c:tx>
            <c:strRef>
              <c:f>'EPS Analysis'!$D$1</c:f>
              <c:strCache>
                <c:ptCount val="1"/>
                <c:pt idx="0">
                  <c:v>ICICI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'EPS Analysis'!$A$2:$A$6</c:f>
              <c:strCache>
                <c:ptCount val="5"/>
                <c:pt idx="0">
                  <c:v>FY21</c:v>
                </c:pt>
                <c:pt idx="1">
                  <c:v>FY22</c:v>
                </c:pt>
                <c:pt idx="2">
                  <c:v>FY23</c:v>
                </c:pt>
                <c:pt idx="3">
                  <c:v>FY24</c:v>
                </c:pt>
                <c:pt idx="4">
                  <c:v>FY25</c:v>
                </c:pt>
              </c:strCache>
            </c:strRef>
          </c:cat>
          <c:val>
            <c:numRef>
              <c:f>'EPS Analysis'!$D$2:$D$6</c:f>
              <c:numCache>
                <c:formatCode>General</c:formatCode>
                <c:ptCount val="5"/>
                <c:pt idx="0">
                  <c:v>24.01</c:v>
                </c:pt>
                <c:pt idx="1">
                  <c:v>33.659999999999997</c:v>
                </c:pt>
                <c:pt idx="2">
                  <c:v>45.79</c:v>
                </c:pt>
                <c:pt idx="3">
                  <c:v>58.38</c:v>
                </c:pt>
                <c:pt idx="4">
                  <c:v>67.010000000000005</c:v>
                </c:pt>
              </c:numCache>
            </c:numRef>
          </c:val>
          <c:smooth val="0"/>
          <c:extLst>
            <c:ext xmlns:c16="http://schemas.microsoft.com/office/drawing/2014/chart" uri="{C3380CC4-5D6E-409C-BE32-E72D297353CC}">
              <c16:uniqueId val="{00000002-4265-436E-8A8C-11455EECDDFE}"/>
            </c:ext>
          </c:extLst>
        </c:ser>
        <c:dLbls>
          <c:showLegendKey val="0"/>
          <c:showVal val="0"/>
          <c:showCatName val="0"/>
          <c:showSerName val="0"/>
          <c:showPercent val="0"/>
          <c:showBubbleSize val="0"/>
        </c:dLbls>
        <c:marker val="1"/>
        <c:smooth val="0"/>
        <c:axId val="34870367"/>
        <c:axId val="34857887"/>
      </c:lineChart>
      <c:catAx>
        <c:axId val="348703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Financial</a:t>
                </a:r>
                <a:r>
                  <a:rPr lang="en-IN" b="1" baseline="0"/>
                  <a:t> Year</a:t>
                </a:r>
                <a:endParaRPr lang="en-IN" b="1"/>
              </a:p>
            </c:rich>
          </c:tx>
          <c:layout>
            <c:manualLayout>
              <c:xMode val="edge"/>
              <c:yMode val="edge"/>
              <c:x val="0.41806150389323632"/>
              <c:y val="0.821275072420533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57887"/>
        <c:crosses val="autoZero"/>
        <c:auto val="1"/>
        <c:lblAlgn val="ctr"/>
        <c:lblOffset val="100"/>
        <c:noMultiLvlLbl val="0"/>
      </c:catAx>
      <c:valAx>
        <c:axId val="348578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Earnings</a:t>
                </a:r>
                <a:r>
                  <a:rPr lang="en-IN" b="1" baseline="0"/>
                  <a:t> Per Share (₹)</a:t>
                </a:r>
                <a:endParaRPr lang="en-IN"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70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6403E-375D-45D5-AF24-EE3483B39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18</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Zubiya Khanum</dc:creator>
  <cp:keywords/>
  <dc:description/>
  <cp:lastModifiedBy>Zubiya Khanum</cp:lastModifiedBy>
  <cp:revision>16</cp:revision>
  <dcterms:created xsi:type="dcterms:W3CDTF">2026-06-10T14:20:00Z</dcterms:created>
  <dcterms:modified xsi:type="dcterms:W3CDTF">2026-06-11T15:26:00Z</dcterms:modified>
</cp:coreProperties>
</file>