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center" w:pos="4677" w:leader="none"/>
          <w:tab w:val="right" w:pos="9355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09"/>
          <w:tab w:val="left" w:pos="426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spacing w:lineRule="auto" w:line="360"/>
        <w:ind w:start="0" w:end="0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</w:t>
      </w:r>
      <w:r>
        <w:rPr>
          <w:rFonts w:eastAsia="Times New Roman" w:cs="Times New Roman" w:ascii="Times New Roman" w:hAnsi="Times New Roman"/>
          <w:sz w:val="28"/>
          <w:szCs w:val="28"/>
        </w:rPr>
        <w:t>у</w:t>
      </w:r>
      <w:r>
        <w:rPr>
          <w:rFonts w:eastAsia="Times New Roman" w:cs="Times New Roman" w:ascii="Times New Roman" w:hAnsi="Times New Roman"/>
          <w:sz w:val="28"/>
          <w:szCs w:val="28"/>
        </w:rPr>
        <w:t>чебно-исследовательской работе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№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Normal"/>
        <w:spacing w:lineRule="auto" w:line="240" w:before="0" w:after="200"/>
        <w:jc w:val="center"/>
        <w:rPr/>
      </w:pPr>
      <w:r>
        <w:rPr>
          <w:rFonts w:eastAsia="Times New Roman" w:cs="Times New Roman"/>
        </w:rPr>
        <w:t>«</w:t>
      </w:r>
      <w:r>
        <w:rPr>
          <w:rFonts w:eastAsia="Times New Roman" w:cs="Times New Roman" w:ascii="Times New Roman" w:hAnsi="Times New Roman"/>
          <w:sz w:val="28"/>
          <w:szCs w:val="28"/>
        </w:rPr>
        <w:t>Исследование систем марковского обслуживания на марковских моделях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 w:before="0" w:after="20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 дисциплине 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Моделирование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» </w:t>
      </w:r>
    </w:p>
    <w:p>
      <w:pPr>
        <w:pStyle w:val="Normal"/>
        <w:spacing w:lineRule="auto" w:line="240" w:before="0" w:after="200"/>
        <w:jc w:val="center"/>
        <w:rPr/>
      </w:pPr>
      <w:r>
        <w:rPr/>
        <w:t>Вариант 5</w:t>
      </w:r>
      <w:r>
        <w:rPr/>
        <w:t>3/3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2" w:name="_heading=h.30j0zll"/>
      <w:bookmarkStart w:id="3" w:name="_heading=h.30j0zll"/>
      <w:bookmarkEnd w:id="3"/>
    </w:p>
    <w:p>
      <w:pPr>
        <w:pStyle w:val="Normal"/>
        <w:spacing w:lineRule="auto" w:line="288" w:before="120" w:after="0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Автор</w:t>
      </w:r>
      <w:r>
        <w:rPr>
          <w:rFonts w:eastAsia="Times New Roman" w:cs="Times New Roman" w:ascii="Times New Roman" w:hAnsi="Times New Roman"/>
          <w:sz w:val="28"/>
          <w:szCs w:val="28"/>
        </w:rPr>
        <w:t>ы</w:t>
      </w:r>
      <w:r>
        <w:rPr>
          <w:rFonts w:eastAsia="Times New Roman" w:cs="Times New Roman" w:ascii="Times New Roman" w:hAnsi="Times New Roman"/>
          <w:sz w:val="28"/>
          <w:szCs w:val="28"/>
        </w:rPr>
        <w:t>: Кулаков Н. В.</w:t>
      </w:r>
    </w:p>
    <w:p>
      <w:pPr>
        <w:pStyle w:val="Normal"/>
        <w:spacing w:lineRule="auto" w:line="288" w:before="120" w:after="0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Факультет:  ПИиКТ</w:t>
      </w:r>
    </w:p>
    <w:p>
      <w:pPr>
        <w:pStyle w:val="Normal"/>
        <w:spacing w:lineRule="auto" w:line="288" w:before="120" w:after="0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P3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  <w:r>
        <w:rPr>
          <w:rFonts w:eastAsia="Times New Roman" w:cs="Times New Roman" w:ascii="Times New Roman" w:hAnsi="Times New Roman"/>
          <w:sz w:val="28"/>
          <w:szCs w:val="28"/>
        </w:rPr>
        <w:t>312</w:t>
      </w:r>
    </w:p>
    <w:p>
      <w:pPr>
        <w:pStyle w:val="Normal"/>
        <w:spacing w:lineRule="auto" w:line="288" w:before="120" w:after="0"/>
        <w:jc w:val="end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Алиев Т.И</w:t>
      </w:r>
    </w:p>
    <w:p>
      <w:pPr>
        <w:pStyle w:val="Normal"/>
        <w:spacing w:lineRule="auto" w:line="288" w:before="120" w:after="0"/>
        <w:jc w:val="end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88" w:before="120" w:after="0"/>
        <w:jc w:val="end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295525" cy="1562100"/>
            <wp:effectExtent l="0" t="0" r="0" b="0"/>
            <wp:docPr id="1" name="image1.jpg" descr="bw_rus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bw_rus.jpg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360" w:before="0" w:after="200"/>
        <w:ind w:start="0" w:end="0"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 20</w:t>
      </w:r>
      <w:r>
        <w:rPr>
          <w:rFonts w:eastAsia="Times New Roman" w:cs="Times New Roman" w:ascii="Times New Roman" w:hAnsi="Times New Roman"/>
          <w:sz w:val="28"/>
          <w:szCs w:val="28"/>
        </w:rPr>
        <w:t>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start="0" w:end="0" w:hanging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505_1555779569">
            <w:r>
              <w:rPr>
                <w:rStyle w:val="IndexLink"/>
              </w:rPr>
              <w:t>1. Постановка задачи и исходные данные</w:t>
              <w:tab/>
              <w:t>3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2507_1555779569">
            <w:r>
              <w:rPr>
                <w:rStyle w:val="IndexLink"/>
              </w:rPr>
              <w:t>2. Выполнение</w:t>
              <w:tab/>
              <w:t>4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1700_3462711817">
            <w:r>
              <w:rPr>
                <w:rStyle w:val="IndexLink"/>
              </w:rPr>
              <w:t>2.1. Описание исследуемых систем</w:t>
              <w:tab/>
              <w:t>4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1702_3462711817">
            <w:r>
              <w:rPr>
                <w:rStyle w:val="IndexLink"/>
              </w:rPr>
              <w:t>2.2. Графическое представление систем</w:t>
              <w:tab/>
              <w:t>5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1704_3462711817">
            <w:r>
              <w:rPr>
                <w:rStyle w:val="IndexLink"/>
              </w:rPr>
              <w:t>2.3. Перечень состояний марковского процесса для исследуемых систем</w:t>
              <w:tab/>
              <w:t>7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1706_3462711817">
            <w:r>
              <w:rPr>
                <w:rStyle w:val="IndexLink"/>
              </w:rPr>
              <w:t>2.4. Размеченные графы переходов для систем</w:t>
              <w:tab/>
              <w:t>9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1708_3462711817">
            <w:r>
              <w:rPr>
                <w:rStyle w:val="IndexLink"/>
              </w:rPr>
              <w:t>2.5. Матрицы интенсивностей переходов</w:t>
              <w:tab/>
              <w:t>11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1710_3462711817">
            <w:r>
              <w:rPr>
                <w:rStyle w:val="IndexLink"/>
              </w:rPr>
              <w:t>2.6. Значения стационарных вероятностей</w:t>
              <w:tab/>
              <w:t>12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1712_3462711817">
            <w:r>
              <w:rPr>
                <w:rStyle w:val="IndexLink"/>
              </w:rPr>
              <w:t>2.7. Характеристики систем</w:t>
              <w:tab/>
              <w:t>13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1714_3462711817">
            <w:r>
              <w:rPr>
                <w:rStyle w:val="IndexLink"/>
              </w:rPr>
              <w:t>2.8. Графики сравнительного анализа характеристик</w:t>
              <w:tab/>
              <w:t>15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2509_1555779569">
            <w:r>
              <w:rPr>
                <w:rStyle w:val="IndexLink"/>
              </w:rPr>
              <w:t>3. Итоги</w:t>
              <w:tab/>
              <w:t>16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spacing w:lineRule="auto" w:line="360"/>
        <w:ind w:start="0" w:end="0" w:hanging="0"/>
        <w:jc w:val="start"/>
        <w:rPr/>
      </w:pPr>
      <w:r>
        <w:rPr/>
      </w:r>
      <w:r>
        <w:br w:type="page"/>
      </w:r>
    </w:p>
    <w:p>
      <w:pPr>
        <w:pStyle w:val="Heading1"/>
        <w:rPr/>
      </w:pPr>
      <w:bookmarkStart w:id="4" w:name="__RefHeading___Toc2505_1555779569"/>
      <w:bookmarkEnd w:id="4"/>
      <w:r>
        <w:rPr/>
        <w:t>Постановка задачи и исходные данные</w:t>
      </w:r>
    </w:p>
    <w:p>
      <w:pPr>
        <w:pStyle w:val="TextBody"/>
        <w:rPr/>
      </w:pPr>
      <w:r>
        <w:rPr/>
        <w:t>Разработать марковские модели одно- и многоканальных СМО с однородным потоком заявок, рассчитать характеристики. Проанализировать и выбрать наилучший вариант построения СМО в соответствие с заданным критерием эффективности.</w:t>
      </w:r>
    </w:p>
    <w:p>
      <w:pPr>
        <w:pStyle w:val="TextBody"/>
        <w:rPr/>
      </w:pPr>
      <w:r>
        <w:rPr/>
        <w:t>В процессе исследований для расчета характеристик функционирования СМО используется программа MARK.</w:t>
      </w:r>
    </w:p>
    <w:p>
      <w:pPr>
        <w:pStyle w:val="TextBody"/>
        <w:rPr/>
      </w:pPr>
      <w:r>
        <w:rPr/>
        <w:t>Вариант 5</w:t>
      </w:r>
      <w:r>
        <w:rPr/>
        <w:t>3/3</w:t>
      </w:r>
      <w:r>
        <w:rPr/>
        <w:t>.</w:t>
      </w:r>
    </w:p>
    <w:p>
      <w:pPr>
        <w:pStyle w:val="Style12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Параметры структурной и функциональной организации исследуемых систем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Вариант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Система 1</w:t>
            </w:r>
          </w:p>
        </w:tc>
        <w:tc>
          <w:tcPr>
            <w:tcW w:w="321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Система 2</w:t>
            </w:r>
          </w:p>
        </w:tc>
        <w:tc>
          <w:tcPr>
            <w:tcW w:w="160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Критерий эффектив</w:t>
            </w:r>
          </w:p>
        </w:tc>
      </w:tr>
      <w:tr>
        <w:trPr/>
        <w:tc>
          <w:tcPr>
            <w:tcW w:w="160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П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ЕН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П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ЕН</w:t>
            </w:r>
          </w:p>
        </w:tc>
        <w:tc>
          <w:tcPr>
            <w:tcW w:w="160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53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 (E_2)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3/0/0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(в)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>П — число обслуживающих приборов</w:t>
      </w:r>
    </w:p>
    <w:p>
      <w:pPr>
        <w:pStyle w:val="TextBody"/>
        <w:numPr>
          <w:ilvl w:val="0"/>
          <w:numId w:val="2"/>
        </w:numPr>
        <w:rPr/>
      </w:pPr>
      <w:r>
        <w:rPr/>
        <w:t>П (E_k) — в одном из приборов длительность обслуживания распределена по закону Эрланга k-ого порядка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ЕН — Емкости накопителей. </w:t>
      </w:r>
    </w:p>
    <w:p>
      <w:pPr>
        <w:pStyle w:val="TextBody"/>
        <w:numPr>
          <w:ilvl w:val="1"/>
          <w:numId w:val="2"/>
        </w:numPr>
        <w:rPr/>
      </w:pPr>
      <w:r>
        <w:rPr/>
        <w:t>Представлена одним числом — общий накопитель перед всеми приборами.</w:t>
      </w:r>
    </w:p>
    <w:p>
      <w:pPr>
        <w:pStyle w:val="TextBody"/>
        <w:numPr>
          <w:ilvl w:val="1"/>
          <w:numId w:val="2"/>
        </w:numPr>
        <w:rPr/>
      </w:pPr>
      <w:r>
        <w:rPr/>
        <w:t>X/Y/Z — перед первым/вторым/третим приборами</w:t>
      </w:r>
    </w:p>
    <w:p>
      <w:pPr>
        <w:pStyle w:val="TextBody"/>
        <w:numPr>
          <w:ilvl w:val="0"/>
          <w:numId w:val="2"/>
        </w:numPr>
        <w:rPr/>
      </w:pPr>
      <w:r>
        <w:rPr/>
        <w:t>критерий эффективности в) — максимальная загрузка системы</w:t>
      </w:r>
    </w:p>
    <w:p>
      <w:pPr>
        <w:pStyle w:val="Style12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Параметры нагрузки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06"/>
        <w:gridCol w:w="1419"/>
        <w:gridCol w:w="1794"/>
        <w:gridCol w:w="1606"/>
        <w:gridCol w:w="1606"/>
        <w:gridCol w:w="1607"/>
      </w:tblGrid>
      <w:tr>
        <w:trPr/>
        <w:tc>
          <w:tcPr>
            <w:tcW w:w="160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Номер варианта</w:t>
            </w:r>
          </w:p>
        </w:tc>
        <w:tc>
          <w:tcPr>
            <w:tcW w:w="14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Интенсив.</w:t>
            </w:r>
          </w:p>
        </w:tc>
        <w:tc>
          <w:tcPr>
            <w:tcW w:w="17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Ср. длит. обсл</w:t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Вероятности занятия прибора</w:t>
            </w:r>
          </w:p>
        </w:tc>
      </w:tr>
      <w:tr>
        <w:trPr/>
        <w:tc>
          <w:tcPr>
            <w:tcW w:w="160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λ</w:t>
            </w:r>
            <w:r>
              <w:rPr/>
              <w:t>, 1/с</w:t>
            </w:r>
          </w:p>
        </w:tc>
        <w:tc>
          <w:tcPr>
            <w:tcW w:w="179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b, с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П1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П2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П3</w:t>
            </w:r>
          </w:p>
        </w:tc>
      </w:tr>
      <w:tr>
        <w:trPr/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3</w:t>
            </w:r>
          </w:p>
        </w:tc>
        <w:tc>
          <w:tcPr>
            <w:tcW w:w="14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0.3</w:t>
            </w:r>
          </w:p>
        </w:tc>
        <w:tc>
          <w:tcPr>
            <w:tcW w:w="179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0.25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0.25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0.5</w:t>
            </w:r>
          </w:p>
        </w:tc>
      </w:tr>
    </w:tbl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bookmarkStart w:id="5" w:name="p49R_mc3"/>
      <w:bookmarkEnd w:id="5"/>
      <w:r>
        <w:rPr/>
        <w:t>в случае двухканальной СМО вероятность занятия прибора П1 выбирается из табл.2, а вероятность занятия прибора П2 принимается равной сумме вероятностей занятия приборов П2 и П3</w:t>
      </w:r>
    </w:p>
    <w:p>
      <w:pPr>
        <w:pStyle w:val="Heading1"/>
        <w:rPr/>
      </w:pPr>
      <w:bookmarkStart w:id="6" w:name="__RefHeading___Toc2507_1555779569"/>
      <w:bookmarkEnd w:id="6"/>
      <w:r>
        <w:rPr/>
        <w:t>Выполнение</w:t>
      </w:r>
    </w:p>
    <w:p>
      <w:pPr>
        <w:pStyle w:val="TextBody"/>
        <w:rPr/>
      </w:pPr>
      <w:r>
        <w:rPr/>
        <w:t>Интенсивность обслуживания — 0.3 1/с, время обслуживания — 20 с.</w:t>
      </w:r>
    </w:p>
    <w:p>
      <w:pPr>
        <w:pStyle w:val="Heading2"/>
        <w:rPr/>
      </w:pPr>
      <w:bookmarkStart w:id="7" w:name="__RefHeading___Toc1700_3462711817"/>
      <w:bookmarkEnd w:id="7"/>
      <w:r>
        <w:rPr/>
        <w:t>Описание исследуем</w:t>
      </w:r>
      <w:r>
        <w:rPr/>
        <w:t>ых</w:t>
      </w:r>
      <w:r>
        <w:rPr/>
        <w:t xml:space="preserve"> систем</w:t>
      </w:r>
    </w:p>
    <w:p>
      <w:pPr>
        <w:pStyle w:val="TextBody"/>
        <w:rPr/>
      </w:pPr>
      <w:r>
        <w:rPr>
          <w:b/>
          <w:bCs/>
        </w:rPr>
        <w:t>Система 1</w:t>
      </w:r>
      <w:r>
        <w:rPr/>
        <w:t xml:space="preserve">. В системе число обслуживающих приборов равно 2, причем в одном из них время обслуживания распределено по закону Эрланга 2-ого порядка, </w:t>
      </w:r>
      <w:r>
        <w:rPr/>
        <w:t>в другом — экспоненциальное распределение</w:t>
      </w:r>
      <w:r>
        <w:rPr/>
        <w:t xml:space="preserve">. Система имеет общую очередь длиной 3. При освобождении какого-либо из приборов заявка направляется в соответствие с вероятностным правилом: [P(П1) = 1/3P(П2) = 0.25], </w:t>
      </w:r>
      <w:r>
        <w:rPr/>
        <w:t>если оба прибора свободны</w:t>
      </w:r>
      <w:r>
        <w:rPr/>
        <w:t xml:space="preserve">. Поток, поскольку разряжение вероятностное, остается экспоненциальным. </w:t>
      </w:r>
    </w:p>
    <w:p>
      <w:pPr>
        <w:pStyle w:val="TextBody"/>
        <w:rPr/>
      </w:pPr>
      <w:r>
        <w:rPr>
          <w:b/>
          <w:bCs/>
        </w:rPr>
        <w:t>Система 2</w:t>
      </w:r>
      <w:r>
        <w:rPr/>
        <w:t xml:space="preserve">. В системе 3 обслуживающих прибора </w:t>
      </w:r>
      <w:r>
        <w:rPr/>
        <w:t xml:space="preserve">с временем обслуживания, распределенным по экспоненциальному закону. </w:t>
      </w:r>
      <w:r>
        <w:rPr/>
        <w:t>Д</w:t>
      </w:r>
      <w:r>
        <w:rPr/>
        <w:t>лина очереди перед каждым из прибором 3, 0, 0 соответственно. Заявка направляется в очередь в соответствие с правилом: [P(П1) = P(П2) = 1/</w:t>
      </w:r>
      <w:r>
        <w:rPr/>
        <w:t>2</w:t>
      </w:r>
      <w:r>
        <w:rPr/>
        <w:t xml:space="preserve">P(П3) = 0.25], даже если очередь </w:t>
      </w:r>
      <w:r>
        <w:rPr/>
        <w:t>заполнена</w:t>
      </w:r>
      <w:r>
        <w:rPr/>
        <w:t xml:space="preserve"> </w:t>
      </w:r>
      <w:r>
        <w:rPr/>
        <w:t>(, тогда заявка отбрасывается)</w:t>
      </w:r>
      <w:r>
        <w:rPr/>
        <w:t>.</w:t>
      </w:r>
    </w:p>
    <w:p>
      <w:pPr>
        <w:pStyle w:val="Normal"/>
        <w:rPr/>
      </w:pPr>
      <w:r>
        <w:rPr/>
        <w:t>Заявка, поступившая в систему, с заданной вероятностью занятия прибора направляется к соответствующему прибору и ставится в очередь, либо теряется, если накопитель заполнен или отсутствует</w:t>
      </w:r>
    </w:p>
    <w:p>
      <w:pPr>
        <w:pStyle w:val="Normal"/>
        <w:rPr/>
      </w:pPr>
      <w:r>
        <w:rPr/>
        <w:t xml:space="preserve">Для </w:t>
      </w:r>
      <w:r>
        <w:rPr>
          <w:b/>
          <w:bCs/>
        </w:rPr>
        <w:t>Система 1</w:t>
      </w:r>
      <w:r>
        <w:rPr/>
        <w:t>, поскольк</w:t>
      </w:r>
      <w:r>
        <w:rPr/>
        <w:t>у</w:t>
      </w:r>
      <w:r>
        <w:rPr/>
        <w:t xml:space="preserve"> вероятностный выбор происходит от очереди, то осуществляется выбор и пересчет вероятностей, в случае если какие-то приборы свободны, а какие-то заняты. Для второго случая, поскольку нет общей очереди, то заявка просто отбрасывается, </w:t>
      </w:r>
      <w:r>
        <w:rPr/>
        <w:t xml:space="preserve">в случае, если в системе есть занятые и незанятые приборы, а заявка вероятностно поступает на занятый прибор. </w:t>
      </w:r>
    </w:p>
    <w:p>
      <w:pPr>
        <w:pStyle w:val="Normal"/>
        <w:rPr/>
      </w:pPr>
      <w:r>
        <w:rPr/>
        <w:t>Т</w:t>
      </w:r>
      <w:r>
        <w:rPr/>
        <w:t xml:space="preserve">о есть для </w:t>
      </w:r>
      <w:r>
        <w:rPr>
          <w:b/>
          <w:bCs/>
        </w:rPr>
        <w:t>Система 1</w:t>
      </w:r>
      <w:r>
        <w:rPr/>
        <w:t xml:space="preserve">, если первый прибор занят, то следующая заявка, если первый прибор не освободится, поступит только во второй прибор, </w:t>
      </w:r>
      <w:r>
        <w:rPr/>
        <w:t>и никак не отбросится</w:t>
      </w:r>
      <w:r>
        <w:rPr/>
        <w:t xml:space="preserve">. </w:t>
      </w:r>
      <w:r>
        <w:rPr/>
        <w:t xml:space="preserve">В то время как, НУО если в </w:t>
      </w:r>
      <w:r>
        <w:rPr>
          <w:b/>
          <w:bCs/>
        </w:rPr>
        <w:t>Система 2</w:t>
      </w:r>
      <w:r>
        <w:rPr/>
        <w:t xml:space="preserve"> занят прибор 2, а заявка вероятностно поступает на прибор 2, то она отбросится.</w:t>
      </w:r>
    </w:p>
    <w:p>
      <w:pPr>
        <w:pStyle w:val="Heading2"/>
        <w:rPr/>
      </w:pPr>
      <w:bookmarkStart w:id="8" w:name="__RefHeading___Toc1702_3462711817"/>
      <w:bookmarkEnd w:id="8"/>
      <w:r>
        <w:rPr/>
        <w:t>Графическое представление систем</w:t>
      </w:r>
    </w:p>
    <w:p>
      <w:pPr>
        <w:pStyle w:val="TextBody"/>
        <w:rPr/>
      </w:pPr>
      <w:r>
        <w:rPr/>
      </w:r>
      <w:r>
        <mc:AlternateContent>
          <mc:Choice Requires="wps">
            <w:drawing>
              <wp:inline distT="0" distB="0" distL="0" distR="0">
                <wp:extent cx="6120130" cy="3902075"/>
                <wp:effectExtent l="0" t="0" r="0" b="0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9020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562985"/>
                                  <wp:effectExtent l="0" t="0" r="0" b="0"/>
                                  <wp:docPr id="3" name="Image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562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Графическое представление Система 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81.9pt;height:307.25pt;mso-wrap-distance-left:0pt;mso-wrap-distance-right:0pt;mso-wrap-distance-top:0pt;mso-wrap-distance-bottom:0pt;margin-top:-307.2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562985"/>
                            <wp:effectExtent l="0" t="0" r="0" b="0"/>
                            <wp:docPr id="4" name="Image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562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Графическое представление Система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rPr/>
      </w:pPr>
      <w:r>
        <w:rPr/>
        <w:t>Распределение Эрланга 2-ого порядка будет иметь второй прибор.</w:t>
      </w:r>
    </w:p>
    <w:p>
      <w:pPr>
        <w:pStyle w:val="TextBody"/>
        <w:rPr/>
      </w:pPr>
      <w:r>
        <w:rPr/>
        <w:t xml:space="preserve">Так как нагрузка превышает 1 (y = 0.3/(0.05+0.05) = 3), то большая часть заявок будет отбрасывать, и хотя бы один прибор будет работать часто, поэтому скорее всего выбор, </w:t>
      </w:r>
      <w:r>
        <w:rPr/>
        <w:t xml:space="preserve">какой прибор назначить с распределением Эрланга, </w:t>
      </w:r>
      <w:r>
        <w:rPr/>
        <w:t xml:space="preserve">будет незначительным. Но все же, нормализованный эрланг стремится к нормальному распределению, что дает меньшее значение «околонулевых» значений времен обслуживаний. Поэтому выдвину предположение, что для удовлетворения моего критерия эффективности будет лучше, если именно </w:t>
      </w:r>
      <w:r>
        <w:rPr/>
        <w:t>первый</w:t>
      </w:r>
      <w:r>
        <w:rPr/>
        <w:t xml:space="preserve"> прибор будет иметь распределение Эрланга, ведь </w:t>
      </w:r>
      <w:r>
        <w:rPr/>
        <w:t xml:space="preserve">тогда </w:t>
      </w:r>
      <w:r>
        <w:rPr/>
        <w:t>заявки будут чаще попадать во второй прибор (</w:t>
      </w:r>
      <w:r>
        <w:rPr/>
        <w:t>для него вероятность попадания выше</w:t>
      </w:r>
      <w:r>
        <w:rPr/>
        <w:t xml:space="preserve">), </w:t>
      </w:r>
      <w:r>
        <w:rPr/>
        <w:t>если оба прибора свободны</w:t>
      </w:r>
      <w:r>
        <w:rPr/>
        <w:t xml:space="preserve">, и в целом, </w:t>
      </w:r>
      <w:r>
        <w:rPr/>
        <w:t xml:space="preserve">если экспоненциальное распределение, имеющее больше околонулевых значений, быстро обработает какое-то из них, то прибор будет ожидать заявки, а соответственно, если сделать большую вероятность </w:t>
      </w:r>
      <w:r>
        <w:rPr/>
        <w:t>попадания заявок к нему</w:t>
      </w:r>
      <w:r>
        <w:rPr/>
        <w:t xml:space="preserve">, то скорее всего </w:t>
      </w:r>
      <w:r>
        <w:rPr/>
        <w:t>этот прибор</w:t>
      </w:r>
      <w:r>
        <w:rPr/>
        <w:t xml:space="preserve"> будет ожидать меньше, </w:t>
      </w:r>
      <w:r>
        <w:rPr/>
        <w:t xml:space="preserve">так как к нему попадет больше заявок из буфера, </w:t>
      </w:r>
      <w:r>
        <w:rPr/>
        <w:t xml:space="preserve">пока он </w:t>
      </w:r>
      <w:r>
        <w:rPr/>
        <w:t>неожиданно</w:t>
      </w:r>
      <w:r>
        <w:rPr/>
        <w:t xml:space="preserve"> не закончится, </w:t>
      </w:r>
      <w:r>
        <w:rPr/>
        <w:t xml:space="preserve">в то время как </w:t>
      </w:r>
      <w:r>
        <w:rPr/>
        <w:t>другой</w:t>
      </w:r>
      <w:r>
        <w:rPr/>
        <w:t xml:space="preserve"> прибор </w:t>
      </w:r>
      <w:r>
        <w:rPr/>
        <w:t xml:space="preserve">получит свою заявку, и в большинстве случаев будет обрабатывать ее </w:t>
      </w:r>
      <w:r>
        <w:rPr/>
        <w:t>дольше</w:t>
      </w:r>
      <w:r>
        <w:rPr/>
        <w:t xml:space="preserve"> (хотя матожидание у этих приборов равно), </w:t>
      </w:r>
      <w:r>
        <w:rPr/>
        <w:t>пока буфер снова не накопится</w:t>
      </w:r>
      <w:r>
        <w:rPr/>
        <w:t>.</w:t>
      </w:r>
    </w:p>
    <w:p>
      <w:pPr>
        <w:pStyle w:val="TextBody"/>
        <w:rPr/>
      </w:pPr>
      <w:r>
        <w:rPr/>
      </w:r>
      <w:r>
        <mc:AlternateContent>
          <mc:Choice Requires="wps">
            <w:drawing>
              <wp:inline distT="0" distB="0" distL="0" distR="0">
                <wp:extent cx="6120130" cy="2711450"/>
                <wp:effectExtent l="0" t="0" r="0" b="0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7114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2372360"/>
                                  <wp:effectExtent l="0" t="0" r="0" b="0"/>
                                  <wp:docPr id="6" name="Image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372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Эквивалент П(E2) через П(E1)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81.9pt;height:213.5pt;mso-wrap-distance-left:0pt;mso-wrap-distance-right:0pt;mso-wrap-distance-top:0pt;mso-wrap-distance-bottom:0pt;margin-top:-213.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2372360"/>
                            <wp:effectExtent l="0" t="0" r="0" b="0"/>
                            <wp:docPr id="7" name="Image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372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Эквивалент П(E2) через П(E1)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rPr/>
      </w:pPr>
      <w:r>
        <w:rPr/>
        <w:t xml:space="preserve">Прибор с распределением Эрланга 2-ого порядка можно представить как последовательность из двух приборов с экспоненциальным распределением </w:t>
      </w:r>
      <w:r>
        <w:rPr/>
        <w:t>с матожиданием вдвое меньшим</w:t>
      </w:r>
      <w:r>
        <w:rPr/>
        <w:t>.</w:t>
      </w:r>
    </w:p>
    <w:p>
      <w:pPr>
        <w:pStyle w:val="TextBody"/>
        <w:rPr/>
      </w:pPr>
      <w:r>
        <w:rPr/>
      </w:r>
      <w:r>
        <mc:AlternateContent>
          <mc:Choice Requires="wps">
            <w:drawing>
              <wp:inline distT="0" distB="0" distL="0" distR="0">
                <wp:extent cx="6120130" cy="4551045"/>
                <wp:effectExtent l="0" t="0" r="0" b="0"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5510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211955"/>
                                  <wp:effectExtent l="0" t="0" r="0" b="0"/>
                                  <wp:docPr id="9" name="Image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211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Графическое представление Система 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81.9pt;height:358.35pt;mso-wrap-distance-left:0pt;mso-wrap-distance-right:0pt;mso-wrap-distance-top:0pt;mso-wrap-distance-bottom:0pt;margin-top:-358.3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211955"/>
                            <wp:effectExtent l="0" t="0" r="0" b="0"/>
                            <wp:docPr id="10" name="Image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211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Графическое представление Система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rPr/>
      </w:pPr>
      <w:bookmarkStart w:id="9" w:name="__RefHeading___Toc1704_3462711817"/>
      <w:bookmarkEnd w:id="9"/>
      <w:r>
        <w:rPr/>
        <w:t>Перечень состояний марковского процесса для исследуемых систем</w:t>
      </w:r>
    </w:p>
    <w:p>
      <w:pPr>
        <w:pStyle w:val="TextBody"/>
        <w:rPr/>
      </w:pPr>
      <w:r>
        <w:rPr/>
        <w:t>Обозначения: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Пk — номер прибора. </w:t>
      </w:r>
      <w:r>
        <w:rPr/>
        <w:t xml:space="preserve">0 — прибор пуст, </w:t>
      </w:r>
      <w:r>
        <w:rPr/>
        <w:t xml:space="preserve">иначе в нем заявка. Поскольку используется распределение Эрланга </w:t>
      </w:r>
      <w:r>
        <w:rPr/>
        <w:t>2-ого порядка</w:t>
      </w:r>
      <w:r>
        <w:rPr/>
        <w:t xml:space="preserve">, то </w:t>
      </w:r>
      <w:r>
        <w:rPr/>
        <w:t>буду</w:t>
      </w:r>
      <w:r>
        <w:rPr/>
        <w:t xml:space="preserve"> отмечать </w:t>
      </w:r>
      <w:r>
        <w:rPr/>
        <w:t xml:space="preserve">номер этапа как 1, </w:t>
      </w:r>
      <w:r>
        <w:rPr/>
        <w:t>2</w:t>
      </w:r>
      <w:r>
        <w:rPr/>
        <w:t>.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О — длина </w:t>
      </w:r>
      <w:r>
        <w:rPr/>
        <w:t>общей</w:t>
      </w:r>
      <w:r>
        <w:rPr/>
        <w:t xml:space="preserve"> </w:t>
      </w:r>
      <w:r>
        <w:rPr/>
        <w:t xml:space="preserve">очереди, Оk — связанной с </w:t>
      </w:r>
      <w:r>
        <w:rPr/>
        <w:t>k-ым Прибором</w:t>
      </w:r>
    </w:p>
    <w:p>
      <w:pPr>
        <w:pStyle w:val="Style12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Перечень состояний марковского процесса для исследуемых систем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Номер состояния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Система 1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Система 2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Ek(</w:t>
            </w:r>
            <w:r>
              <w:rPr/>
              <w:t>П1/П2/О</w:t>
            </w:r>
            <w:r>
              <w:rPr/>
              <w:t>)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Ek(</w:t>
            </w:r>
            <w:r>
              <w:rPr/>
              <w:t>П1/П2/П3/О1</w:t>
            </w:r>
            <w:r>
              <w:rPr/>
              <w:t>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E0(0/0/0)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E0(0/0/0/0)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E1(1/0/0)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E1(0/1/0/0)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E2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E2(0/1/0)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E2(0/0/1/0)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E3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E3(1/1/0)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E3(0/1/1/0)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E4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E4(1/1/1)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E4(1/0/0/0)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E5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E5(1/1/2)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E5(1/1/0/0)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E6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E6(1/1/3)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E6(1/0/1/0)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E7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E7(0/2/0)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E7(1/1/1/0)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E8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E8(1/2/0)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E8(1/0/0/1)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E9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E9(1/2/1)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E9(1/1/0/1)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E10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E10(1/2/2)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E10(1/0/1/1)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E11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E11(1/2/3)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E11(1/1/1/1)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E12(1/0/0/2)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E13(1/1/0/2)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E14(1/0/1/2)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E15(1/1/1/2)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E16(1/0/0/3)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E17(1/1/0/3)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E18(1/0/1/3)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E19(1/1/1/3)</w:t>
            </w:r>
          </w:p>
        </w:tc>
      </w:tr>
    </w:tbl>
    <w:p>
      <w:pPr>
        <w:pStyle w:val="Heading2"/>
        <w:rPr/>
      </w:pPr>
      <w:bookmarkStart w:id="10" w:name="__RefHeading___Toc1706_3462711817"/>
      <w:bookmarkEnd w:id="10"/>
      <w:r>
        <w:rPr/>
        <w:t>Размеченные графы переходов для систем</w:t>
      </w:r>
    </w:p>
    <w:p>
      <w:pPr>
        <w:pStyle w:val="TextBody"/>
        <w:rPr/>
      </w:pPr>
      <w:r>
        <w:rPr/>
      </w:r>
      <w:r>
        <mc:AlternateContent>
          <mc:Choice Requires="wps">
            <w:drawing>
              <wp:inline distT="0" distB="0" distL="0" distR="0">
                <wp:extent cx="6120130" cy="3886200"/>
                <wp:effectExtent l="0" t="0" r="0" b="0"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8862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547110"/>
                                  <wp:effectExtent l="0" t="0" r="0" b="0"/>
                                  <wp:docPr id="12" name="Image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547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Размеченный граф переходов для Система 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81.9pt;height:306pt;mso-wrap-distance-left:0pt;mso-wrap-distance-right:0pt;mso-wrap-distance-top:0pt;mso-wrap-distance-bottom:0pt;margin-top:-306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547110"/>
                            <wp:effectExtent l="0" t="0" r="0" b="0"/>
                            <wp:docPr id="13" name="Image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547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Размеченный граф переходов для Система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rPr/>
      </w:pPr>
      <w:r>
        <w:rPr/>
      </w:r>
      <w:r>
        <mc:AlternateContent>
          <mc:Choice Requires="wps">
            <w:drawing>
              <wp:inline distT="0" distB="0" distL="0" distR="0">
                <wp:extent cx="5410200" cy="8665845"/>
                <wp:effectExtent l="0" t="0" r="0" b="0"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86658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10200" cy="8326755"/>
                                  <wp:effectExtent l="0" t="0" r="0" b="0"/>
                                  <wp:docPr id="15" name="Image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0200" cy="8326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Размеченный граф переходов для Система 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26pt;height:682.35pt;mso-wrap-distance-left:0pt;mso-wrap-distance-right:0pt;mso-wrap-distance-top:0pt;mso-wrap-distance-bottom:0pt;margin-top:-682.3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10200" cy="8326755"/>
                            <wp:effectExtent l="0" t="0" r="0" b="0"/>
                            <wp:docPr id="16" name="Image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0200" cy="8326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Размеченный граф переходов для Система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rPr/>
      </w:pPr>
      <w:r>
        <w:rPr/>
        <w:t xml:space="preserve">Как видно, фрагмент (E0, E1, E2, E3) повторяется построчно. </w:t>
      </w:r>
      <w:r>
        <w:rPr/>
        <w:t xml:space="preserve">Можно было бы визуально редуцировать столбцы графа (E1, E5, …) и (E2, E6, …), однако все равно пришлось бы считать состояния по-отдельности из-за </w:t>
      </w:r>
      <w:r>
        <w:rPr/>
        <w:t>неравности вероятностей переходов.</w:t>
      </w:r>
    </w:p>
    <w:p>
      <w:pPr>
        <w:pStyle w:val="Heading2"/>
        <w:rPr/>
      </w:pPr>
      <w:bookmarkStart w:id="11" w:name="__RefHeading___Toc1708_3462711817"/>
      <w:bookmarkEnd w:id="11"/>
      <w:r>
        <w:rPr/>
        <w:t>Матрицы интенсивностей переходов</w:t>
      </w:r>
    </w:p>
    <w:p>
      <w:pPr>
        <w:pStyle w:val="Style12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: Матрица интенсивности Система 1 </w:t>
      </w:r>
      <w:r>
        <w:rPr/>
        <w:t>П2(Е2)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41"/>
        <w:gridCol w:w="734"/>
        <w:gridCol w:w="749"/>
        <w:gridCol w:w="741"/>
        <w:gridCol w:w="741"/>
        <w:gridCol w:w="742"/>
        <w:gridCol w:w="741"/>
        <w:gridCol w:w="742"/>
        <w:gridCol w:w="741"/>
        <w:gridCol w:w="741"/>
        <w:gridCol w:w="742"/>
        <w:gridCol w:w="741"/>
        <w:gridCol w:w="742"/>
      </w:tblGrid>
      <w:tr>
        <w:trPr/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E0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E2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E5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E6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E7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E8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E9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E10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E11</w:t>
            </w:r>
          </w:p>
        </w:tc>
      </w:tr>
      <w:tr>
        <w:trPr/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E0</w:t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0.075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0.225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</w:t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E2</w:t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0.4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</w:t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</w:t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E5</w:t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0.45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E6</w:t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0.15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>
              <w:rPr>
                <w:sz w:val="20"/>
                <w:szCs w:val="20"/>
              </w:rPr>
              <w:t>00</w:t>
            </w:r>
          </w:p>
        </w:tc>
      </w:tr>
      <w:tr>
        <w:trPr/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E7</w:t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0.4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E8</w:t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E9</w:t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0.45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E10</w:t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0.45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>
              <w:rPr>
                <w:sz w:val="20"/>
                <w:szCs w:val="20"/>
              </w:rPr>
              <w:t>00</w:t>
            </w:r>
          </w:p>
        </w:tc>
      </w:tr>
      <w:tr>
        <w:trPr/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E11</w:t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0.15</w:t>
            </w: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TextBody"/>
        <w:rPr/>
      </w:pPr>
      <w:r>
        <w:rPr/>
        <w:t xml:space="preserve">Для того, чтобы поменять местами приборы, следует переместить ячейки (E0,E1) </w:t>
      </w:r>
      <w:r>
        <w:rPr/>
        <w:t>и</w:t>
      </w:r>
      <w:r>
        <w:rPr/>
        <w:t xml:space="preserve"> (E0,E2), </w:t>
      </w:r>
      <w:r>
        <w:rPr/>
        <w:t xml:space="preserve">так как перемещение местами приборов </w:t>
      </w:r>
      <w:r>
        <w:rPr/>
        <w:t>равносильно</w:t>
      </w:r>
      <w:r>
        <w:rPr/>
        <w:t xml:space="preserve"> перемещению вероятностей </w:t>
      </w:r>
      <w:r>
        <w:rPr/>
        <w:t xml:space="preserve">разряжения </w:t>
      </w:r>
      <w:r>
        <w:rPr/>
        <w:t>потока из очереди.</w:t>
      </w:r>
    </w:p>
    <w:p>
      <w:pPr>
        <w:pStyle w:val="Style12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Матрица интенсивностей Система 2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58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>
        <w:trPr/>
        <w:tc>
          <w:tcPr>
            <w:tcW w:w="458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E2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E3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E4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E6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E7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E8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E9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E11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E12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E13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E14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E16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E17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E18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E19</w:t>
            </w:r>
          </w:p>
        </w:tc>
      </w:tr>
      <w:tr>
        <w:trPr/>
        <w:tc>
          <w:tcPr>
            <w:tcW w:w="458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0.300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58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0.275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58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E2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0.200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58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E3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58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E4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0.350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58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0.325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58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E6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0.250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58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E7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-0.225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58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E8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0.350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58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E9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0.325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58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0.250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58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E11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-0.225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58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E12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0.350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58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E13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0.325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58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E14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0.250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58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-0.225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</w:tr>
      <w:tr>
        <w:trPr/>
        <w:tc>
          <w:tcPr>
            <w:tcW w:w="458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E16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0.275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58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E17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0.250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</w:tr>
      <w:tr>
        <w:trPr/>
        <w:tc>
          <w:tcPr>
            <w:tcW w:w="458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E18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-0.175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</w:tr>
      <w:tr>
        <w:trPr/>
        <w:tc>
          <w:tcPr>
            <w:tcW w:w="458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E19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  <w:tc>
          <w:tcPr>
            <w:tcW w:w="459" w:type="dxa"/>
            <w:tcBorders/>
            <w:vAlign w:val="center"/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0.150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rPr/>
      </w:pPr>
      <w:bookmarkStart w:id="12" w:name="__RefHeading___Toc1710_3462711817"/>
      <w:bookmarkEnd w:id="12"/>
      <w:r>
        <w:rPr/>
        <w:t>Значения стационарных вероятностей</w:t>
      </w:r>
    </w:p>
    <w:p>
      <w:pPr>
        <w:pStyle w:val="TextBody"/>
        <w:rPr/>
      </w:pPr>
      <w:r>
        <w:rPr/>
        <w:t>Также для демонстрации сравнений различных заданий приборов с распределением Эрланга 2-ого порядка поменяю местами вероятности p1 и p2.</w:t>
      </w:r>
    </w:p>
    <w:p>
      <w:pPr>
        <w:pStyle w:val="Style12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: Стационарные вероятности состояни</w:t>
      </w:r>
      <w:r>
        <w:rPr/>
        <w:t>й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71"/>
        <w:gridCol w:w="1291"/>
        <w:gridCol w:w="1341"/>
        <w:gridCol w:w="1359"/>
        <w:gridCol w:w="1426"/>
        <w:gridCol w:w="1543"/>
        <w:gridCol w:w="1307"/>
      </w:tblGrid>
      <w:tr>
        <w:trPr/>
        <w:tc>
          <w:tcPr>
            <w:tcW w:w="137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Номер состояния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Система 1 (Е2 на П2)</w:t>
            </w:r>
          </w:p>
        </w:tc>
        <w:tc>
          <w:tcPr>
            <w:tcW w:w="27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Система 1 (Е2 на П1)</w:t>
            </w:r>
          </w:p>
        </w:tc>
        <w:tc>
          <w:tcPr>
            <w:tcW w:w="28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Система 2</w:t>
            </w:r>
          </w:p>
        </w:tc>
      </w:tr>
      <w:tr>
        <w:trPr/>
        <w:tc>
          <w:tcPr>
            <w:tcW w:w="137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9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Обозн.</w:t>
            </w:r>
          </w:p>
        </w:tc>
        <w:tc>
          <w:tcPr>
            <w:tcW w:w="1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Вер-ть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Обозн.</w:t>
            </w:r>
          </w:p>
        </w:tc>
        <w:tc>
          <w:tcPr>
            <w:tcW w:w="14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Вер-ть</w:t>
            </w:r>
          </w:p>
        </w:tc>
        <w:tc>
          <w:tcPr>
            <w:tcW w:w="154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Обозн.</w:t>
            </w:r>
          </w:p>
        </w:tc>
        <w:tc>
          <w:tcPr>
            <w:tcW w:w="1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Вер-ть</w:t>
            </w:r>
          </w:p>
        </w:tc>
      </w:tr>
      <w:tr>
        <w:trPr/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29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E0(0/0/0)</w:t>
            </w:r>
          </w:p>
        </w:tc>
        <w:tc>
          <w:tcPr>
            <w:tcW w:w="1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0.0008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E0(0/0/0)</w:t>
            </w:r>
          </w:p>
        </w:tc>
        <w:tc>
          <w:tcPr>
            <w:tcW w:w="14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0.0008</w:t>
            </w:r>
          </w:p>
        </w:tc>
        <w:tc>
          <w:tcPr>
            <w:tcW w:w="154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E0(0/0/0/0)</w:t>
            </w:r>
          </w:p>
        </w:tc>
        <w:tc>
          <w:tcPr>
            <w:tcW w:w="1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0.0076</w:t>
            </w:r>
          </w:p>
        </w:tc>
      </w:tr>
      <w:tr>
        <w:trPr/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9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E1(1/0/0)</w:t>
            </w:r>
          </w:p>
        </w:tc>
        <w:tc>
          <w:tcPr>
            <w:tcW w:w="1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0.0020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E1(</w:t>
            </w:r>
            <w:r>
              <w:rPr/>
              <w:t>0</w:t>
            </w:r>
            <w:r>
              <w:rPr/>
              <w:t>/</w:t>
            </w:r>
            <w:r>
              <w:rPr/>
              <w:t>1</w:t>
            </w:r>
            <w:r>
              <w:rPr/>
              <w:t>/0)</w:t>
            </w:r>
          </w:p>
        </w:tc>
        <w:tc>
          <w:tcPr>
            <w:tcW w:w="14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0.002</w:t>
            </w:r>
            <w:r>
              <w:rPr/>
              <w:t>4</w:t>
            </w:r>
          </w:p>
        </w:tc>
        <w:tc>
          <w:tcPr>
            <w:tcW w:w="154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E1(0/1/0/0)</w:t>
            </w:r>
          </w:p>
        </w:tc>
        <w:tc>
          <w:tcPr>
            <w:tcW w:w="1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0.0114</w:t>
            </w:r>
          </w:p>
        </w:tc>
      </w:tr>
      <w:tr>
        <w:trPr/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29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E2(0/1/0)</w:t>
            </w:r>
          </w:p>
        </w:tc>
        <w:tc>
          <w:tcPr>
            <w:tcW w:w="1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0.0021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E2(</w:t>
            </w:r>
            <w:r>
              <w:rPr/>
              <w:t>1</w:t>
            </w:r>
            <w:r>
              <w:rPr/>
              <w:t>/</w:t>
            </w:r>
            <w:r>
              <w:rPr/>
              <w:t>0</w:t>
            </w:r>
            <w:r>
              <w:rPr/>
              <w:t>/0)</w:t>
            </w:r>
          </w:p>
        </w:tc>
        <w:tc>
          <w:tcPr>
            <w:tcW w:w="14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0.00</w:t>
            </w:r>
            <w:r>
              <w:rPr/>
              <w:t>18</w:t>
            </w:r>
          </w:p>
        </w:tc>
        <w:tc>
          <w:tcPr>
            <w:tcW w:w="154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E2(0/0/1/0)</w:t>
            </w:r>
          </w:p>
        </w:tc>
        <w:tc>
          <w:tcPr>
            <w:tcW w:w="1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0.0227</w:t>
            </w:r>
          </w:p>
        </w:tc>
      </w:tr>
      <w:tr>
        <w:trPr/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29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E3(1/1/0)</w:t>
            </w:r>
          </w:p>
        </w:tc>
        <w:tc>
          <w:tcPr>
            <w:tcW w:w="1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0.0132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E3(1/1/0)</w:t>
            </w:r>
          </w:p>
        </w:tc>
        <w:tc>
          <w:tcPr>
            <w:tcW w:w="14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0.0132</w:t>
            </w:r>
          </w:p>
        </w:tc>
        <w:tc>
          <w:tcPr>
            <w:tcW w:w="154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E3(0/1/1/0)</w:t>
            </w:r>
          </w:p>
        </w:tc>
        <w:tc>
          <w:tcPr>
            <w:tcW w:w="1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0.0341</w:t>
            </w:r>
          </w:p>
        </w:tc>
      </w:tr>
      <w:tr>
        <w:trPr/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29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E4(1/1/1)</w:t>
            </w:r>
          </w:p>
        </w:tc>
        <w:tc>
          <w:tcPr>
            <w:tcW w:w="1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0.0451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E4(1/1/1)</w:t>
            </w:r>
          </w:p>
        </w:tc>
        <w:tc>
          <w:tcPr>
            <w:tcW w:w="14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0.045</w:t>
            </w:r>
            <w:r>
              <w:rPr/>
              <w:t>2</w:t>
            </w:r>
          </w:p>
        </w:tc>
        <w:tc>
          <w:tcPr>
            <w:tcW w:w="154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E4(1/0/0/0)</w:t>
            </w:r>
          </w:p>
        </w:tc>
        <w:tc>
          <w:tcPr>
            <w:tcW w:w="1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0.0114</w:t>
            </w:r>
          </w:p>
        </w:tc>
      </w:tr>
      <w:tr>
        <w:trPr/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29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E5(1/1/2)</w:t>
            </w:r>
          </w:p>
        </w:tc>
        <w:tc>
          <w:tcPr>
            <w:tcW w:w="1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0.1460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E5(1/1/2)</w:t>
            </w:r>
          </w:p>
        </w:tc>
        <w:tc>
          <w:tcPr>
            <w:tcW w:w="14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0.146</w:t>
            </w:r>
            <w:r>
              <w:rPr/>
              <w:t>1</w:t>
            </w:r>
          </w:p>
        </w:tc>
        <w:tc>
          <w:tcPr>
            <w:tcW w:w="154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E5(1/1/0/0)</w:t>
            </w:r>
          </w:p>
        </w:tc>
        <w:tc>
          <w:tcPr>
            <w:tcW w:w="1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0.0171</w:t>
            </w:r>
          </w:p>
        </w:tc>
      </w:tr>
      <w:tr>
        <w:trPr/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29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E6(1/1/3)</w:t>
            </w:r>
          </w:p>
        </w:tc>
        <w:tc>
          <w:tcPr>
            <w:tcW w:w="1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0.2921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E6(1/1/3)</w:t>
            </w:r>
          </w:p>
        </w:tc>
        <w:tc>
          <w:tcPr>
            <w:tcW w:w="14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0.2921</w:t>
            </w:r>
          </w:p>
        </w:tc>
        <w:tc>
          <w:tcPr>
            <w:tcW w:w="154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E6(1/0/1/0)</w:t>
            </w:r>
          </w:p>
        </w:tc>
        <w:tc>
          <w:tcPr>
            <w:tcW w:w="1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0.0341</w:t>
            </w:r>
          </w:p>
        </w:tc>
      </w:tr>
      <w:tr>
        <w:trPr/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129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E7(0/2/0)</w:t>
            </w:r>
          </w:p>
        </w:tc>
        <w:tc>
          <w:tcPr>
            <w:tcW w:w="1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0.0013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E7(</w:t>
            </w:r>
            <w:r>
              <w:rPr/>
              <w:t>2</w:t>
            </w:r>
            <w:r>
              <w:rPr/>
              <w:t>/</w:t>
            </w:r>
            <w:r>
              <w:rPr/>
              <w:t>0</w:t>
            </w:r>
            <w:r>
              <w:rPr/>
              <w:t>/0)</w:t>
            </w:r>
          </w:p>
        </w:tc>
        <w:tc>
          <w:tcPr>
            <w:tcW w:w="14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0.0013</w:t>
            </w:r>
          </w:p>
        </w:tc>
        <w:tc>
          <w:tcPr>
            <w:tcW w:w="154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E7(1/1/1/0)</w:t>
            </w:r>
          </w:p>
        </w:tc>
        <w:tc>
          <w:tcPr>
            <w:tcW w:w="1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0.0512</w:t>
            </w:r>
          </w:p>
        </w:tc>
      </w:tr>
      <w:tr>
        <w:trPr/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29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E8(1/2/0)</w:t>
            </w:r>
          </w:p>
        </w:tc>
        <w:tc>
          <w:tcPr>
            <w:tcW w:w="1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0.0065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E8(</w:t>
            </w:r>
            <w:r>
              <w:rPr/>
              <w:t>2</w:t>
            </w:r>
            <w:r>
              <w:rPr/>
              <w:t>/</w:t>
            </w:r>
            <w:r>
              <w:rPr/>
              <w:t>1</w:t>
            </w:r>
            <w:r>
              <w:rPr/>
              <w:t>/0)</w:t>
            </w:r>
          </w:p>
        </w:tc>
        <w:tc>
          <w:tcPr>
            <w:tcW w:w="14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0.0065</w:t>
            </w:r>
          </w:p>
        </w:tc>
        <w:tc>
          <w:tcPr>
            <w:tcW w:w="154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E8(1/0/0/1)</w:t>
            </w:r>
          </w:p>
        </w:tc>
        <w:tc>
          <w:tcPr>
            <w:tcW w:w="1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0.0171</w:t>
            </w:r>
          </w:p>
        </w:tc>
      </w:tr>
      <w:tr>
        <w:trPr/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129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E9(1/2/1)</w:t>
            </w:r>
          </w:p>
        </w:tc>
        <w:tc>
          <w:tcPr>
            <w:tcW w:w="1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0.0245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E9(</w:t>
            </w:r>
            <w:r>
              <w:rPr/>
              <w:t>2</w:t>
            </w:r>
            <w:r>
              <w:rPr/>
              <w:t>/</w:t>
            </w:r>
            <w:r>
              <w:rPr/>
              <w:t>1</w:t>
            </w:r>
            <w:r>
              <w:rPr/>
              <w:t>/1)</w:t>
            </w:r>
          </w:p>
        </w:tc>
        <w:tc>
          <w:tcPr>
            <w:tcW w:w="14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0.024</w:t>
            </w:r>
            <w:r>
              <w:rPr/>
              <w:t>4</w:t>
            </w:r>
          </w:p>
        </w:tc>
        <w:tc>
          <w:tcPr>
            <w:tcW w:w="154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E9(1/1/0/1)</w:t>
            </w:r>
          </w:p>
        </w:tc>
        <w:tc>
          <w:tcPr>
            <w:tcW w:w="1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0.0256</w:t>
            </w:r>
          </w:p>
        </w:tc>
      </w:tr>
      <w:tr>
        <w:trPr/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29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E10(1/2/2)</w:t>
            </w:r>
          </w:p>
        </w:tc>
        <w:tc>
          <w:tcPr>
            <w:tcW w:w="1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0.0905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E10(</w:t>
            </w:r>
            <w:r>
              <w:rPr/>
              <w:t>2</w:t>
            </w:r>
            <w:r>
              <w:rPr/>
              <w:t>/</w:t>
            </w:r>
            <w:r>
              <w:rPr/>
              <w:t>1</w:t>
            </w:r>
            <w:r>
              <w:rPr/>
              <w:t>/2)</w:t>
            </w:r>
          </w:p>
        </w:tc>
        <w:tc>
          <w:tcPr>
            <w:tcW w:w="14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0.0905</w:t>
            </w:r>
          </w:p>
        </w:tc>
        <w:tc>
          <w:tcPr>
            <w:tcW w:w="154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E10(1/0/1/1)</w:t>
            </w:r>
          </w:p>
        </w:tc>
        <w:tc>
          <w:tcPr>
            <w:tcW w:w="1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0.0512</w:t>
            </w:r>
          </w:p>
        </w:tc>
      </w:tr>
      <w:tr>
        <w:trPr/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129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E11(1/2/3)</w:t>
            </w:r>
          </w:p>
        </w:tc>
        <w:tc>
          <w:tcPr>
            <w:tcW w:w="1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0.3757</w:t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E11(</w:t>
            </w:r>
            <w:r>
              <w:rPr/>
              <w:t>2</w:t>
            </w:r>
            <w:r>
              <w:rPr/>
              <w:t>/</w:t>
            </w:r>
            <w:r>
              <w:rPr/>
              <w:t>1</w:t>
            </w:r>
            <w:r>
              <w:rPr/>
              <w:t>/3)</w:t>
            </w:r>
          </w:p>
        </w:tc>
        <w:tc>
          <w:tcPr>
            <w:tcW w:w="14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0.3757</w:t>
            </w:r>
          </w:p>
        </w:tc>
        <w:tc>
          <w:tcPr>
            <w:tcW w:w="154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E11(1/1/1/1)</w:t>
            </w:r>
          </w:p>
        </w:tc>
        <w:tc>
          <w:tcPr>
            <w:tcW w:w="1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0.0768</w:t>
            </w:r>
          </w:p>
        </w:tc>
      </w:tr>
      <w:tr>
        <w:trPr/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29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54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E12(1/0/0/2)</w:t>
            </w:r>
          </w:p>
        </w:tc>
        <w:tc>
          <w:tcPr>
            <w:tcW w:w="1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0.0256</w:t>
            </w:r>
          </w:p>
        </w:tc>
      </w:tr>
      <w:tr>
        <w:trPr/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129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54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E13(1/1/0/2)</w:t>
            </w:r>
          </w:p>
        </w:tc>
        <w:tc>
          <w:tcPr>
            <w:tcW w:w="1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0.0384</w:t>
            </w:r>
          </w:p>
        </w:tc>
      </w:tr>
      <w:tr>
        <w:trPr/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129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54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E14(1/0/1/2)</w:t>
            </w:r>
          </w:p>
        </w:tc>
        <w:tc>
          <w:tcPr>
            <w:tcW w:w="1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0.0768</w:t>
            </w:r>
          </w:p>
        </w:tc>
      </w:tr>
      <w:tr>
        <w:trPr/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129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54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E15(1/1/1/2)</w:t>
            </w:r>
          </w:p>
        </w:tc>
        <w:tc>
          <w:tcPr>
            <w:tcW w:w="1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0.1152</w:t>
            </w:r>
          </w:p>
        </w:tc>
      </w:tr>
      <w:tr>
        <w:trPr/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129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54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E16(1/0/0/3)</w:t>
            </w:r>
          </w:p>
        </w:tc>
        <w:tc>
          <w:tcPr>
            <w:tcW w:w="1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0.0384</w:t>
            </w:r>
          </w:p>
        </w:tc>
      </w:tr>
      <w:tr>
        <w:trPr/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  <w:tc>
          <w:tcPr>
            <w:tcW w:w="129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54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E17(1/1/0/3)</w:t>
            </w:r>
          </w:p>
        </w:tc>
        <w:tc>
          <w:tcPr>
            <w:tcW w:w="1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0.0576</w:t>
            </w:r>
          </w:p>
        </w:tc>
      </w:tr>
      <w:tr>
        <w:trPr/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129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54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E18(1/0/1/3)</w:t>
            </w:r>
          </w:p>
        </w:tc>
        <w:tc>
          <w:tcPr>
            <w:tcW w:w="1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0.1152</w:t>
            </w:r>
          </w:p>
        </w:tc>
      </w:tr>
      <w:tr>
        <w:trPr/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19</w:t>
            </w:r>
          </w:p>
        </w:tc>
        <w:tc>
          <w:tcPr>
            <w:tcW w:w="129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5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54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E19(1/1/1/3)</w:t>
            </w:r>
          </w:p>
        </w:tc>
        <w:tc>
          <w:tcPr>
            <w:tcW w:w="13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0.1727</w:t>
            </w:r>
          </w:p>
        </w:tc>
      </w:tr>
    </w:tbl>
    <w:p>
      <w:pPr>
        <w:pStyle w:val="TextBody"/>
        <w:rPr/>
      </w:pPr>
      <w:r>
        <w:rPr/>
        <w:t xml:space="preserve">Как видно из вероятностей состояний, </w:t>
      </w:r>
      <w:r>
        <w:rPr/>
        <w:t>расположение прибора с Е2</w:t>
      </w:r>
      <w:r>
        <w:rPr/>
        <w:t xml:space="preserve">, не сильно влияет на общую картину, потому что большую часть времени </w:t>
      </w:r>
      <w:r>
        <w:rPr/>
        <w:t>в системе работает хотя бы один прибор</w:t>
      </w:r>
      <w:r>
        <w:rPr/>
        <w:t xml:space="preserve">. </w:t>
      </w:r>
      <w:r>
        <w:rPr/>
        <w:t>Поэтому здесь и в дальнейшем сойдусь на том, что П2 обслуживает заявки по Эрлангу.</w:t>
      </w:r>
    </w:p>
    <w:p>
      <w:pPr>
        <w:pStyle w:val="Heading2"/>
        <w:rPr/>
      </w:pPr>
      <w:bookmarkStart w:id="13" w:name="__RefHeading___Toc1712_3462711817"/>
      <w:bookmarkEnd w:id="13"/>
      <w:r>
        <w:rPr/>
        <w:t>Характеристики систем</w:t>
      </w:r>
    </w:p>
    <w:p>
      <w:pPr>
        <w:pStyle w:val="TextBody"/>
        <w:rPr/>
      </w:pPr>
      <w:r>
        <w:rPr/>
        <w:t xml:space="preserve">Там, где проставлены знаки «?» не понятно как вычислять данные характеристики, </w:t>
      </w:r>
      <w:r>
        <w:rPr/>
        <w:t>поскольку поток из ограниченной о</w:t>
      </w:r>
      <w:r>
        <w:rPr/>
        <w:t>череди тривиальным образом не получается рассчитать</w:t>
      </w:r>
      <w:r>
        <w:rPr/>
        <w:t xml:space="preserve"> </w:t>
      </w:r>
      <w:r>
        <w:rPr/>
        <w:t>(очередь ограниченного размера, два Прибора достают из очереди заявки при наличии)</w:t>
      </w:r>
      <w:r>
        <w:rPr/>
        <w:t>.</w:t>
      </w:r>
      <w:r>
        <w:rPr/>
        <w:t xml:space="preserve"> </w:t>
      </w:r>
      <w:r>
        <w:rPr/>
        <w:t>Поэтому</w:t>
      </w:r>
      <w:r>
        <w:rPr/>
        <w:t xml:space="preserve">, </w:t>
      </w:r>
      <w:r>
        <w:rPr/>
        <w:t xml:space="preserve">например, </w:t>
      </w:r>
      <w:r>
        <w:rPr/>
        <w:t xml:space="preserve">для Система 1 Приборов 1, 2, не понятно, что из себя представляет их характеристика производительности, </w:t>
      </w:r>
      <w:r>
        <w:rPr/>
        <w:t xml:space="preserve">и </w:t>
      </w:r>
      <w:r>
        <w:rPr/>
        <w:t>другие характеристики, которые рассчитываются на основании входящего потока.</w:t>
      </w:r>
    </w:p>
    <w:p>
      <w:pPr>
        <w:pStyle w:val="Style12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: Характеристики систем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851"/>
        <w:gridCol w:w="1265"/>
        <w:gridCol w:w="3725"/>
        <w:gridCol w:w="1333"/>
        <w:gridCol w:w="1464"/>
      </w:tblGrid>
      <w:tr>
        <w:trPr/>
        <w:tc>
          <w:tcPr>
            <w:tcW w:w="1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Хар-ка</w:t>
            </w:r>
          </w:p>
        </w:tc>
        <w:tc>
          <w:tcPr>
            <w:tcW w:w="12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Прибор</w:t>
            </w:r>
          </w:p>
        </w:tc>
        <w:tc>
          <w:tcPr>
            <w:tcW w:w="3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Расчетная формула</w:t>
            </w:r>
          </w:p>
        </w:tc>
        <w:tc>
          <w:tcPr>
            <w:tcW w:w="13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1</w:t>
            </w:r>
          </w:p>
        </w:tc>
        <w:tc>
          <w:tcPr>
            <w:tcW w:w="14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2</w:t>
            </w:r>
          </w:p>
        </w:tc>
      </w:tr>
      <w:tr>
        <w:trPr/>
        <w:tc>
          <w:tcPr>
            <w:tcW w:w="1851" w:type="dxa"/>
            <w:vMerge w:val="restart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Нагрузка</w:t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П1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П2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Сумм.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 xmlns:m="http://schemas.openxmlformats.org/officeDocument/2006/math">
              <m:r>
                <m:t xml:space="preserve">y</m:t>
              </m:r>
              <m:r>
                <m:t xml:space="preserve">=</m:t>
              </m:r>
              <m:f>
                <m:fPr>
                  <m:type m:val="lin"/>
                </m:fPr>
                <m:num>
                  <m:r>
                    <m:t xml:space="preserve">λ</m:t>
                  </m:r>
                </m:num>
                <m:den>
                  <m:r>
                    <m:t xml:space="preserve">μ</m:t>
                  </m:r>
                </m:den>
              </m:f>
            </m:oMath>
            <w:r>
              <w:rPr>
                <w:sz w:val="24"/>
                <w:szCs w:val="24"/>
              </w:rPr>
              <w:t>(по опр.)</w:t>
            </w:r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П1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f>
                  <m:fPr>
                    <m:type m:val="lin"/>
                  </m:fPr>
                  <m:num>
                    <m:r>
                      <m:t xml:space="preserve">λ</m:t>
                    </m:r>
                  </m:num>
                  <m:den>
                    <m:sSub>
                      <m:e>
                        <m:r>
                          <m:t xml:space="preserve">μ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</m:den>
                </m:f>
                <m:r>
                  <m:t xml:space="preserve">∗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П2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2</m:t>
                    </m:r>
                  </m:sub>
                </m:sSub>
                <m:r>
                  <m:t xml:space="preserve">=</m:t>
                </m:r>
                <m:f>
                  <m:fPr>
                    <m:type m:val="lin"/>
                  </m:fPr>
                  <m:num>
                    <m:r>
                      <m:t xml:space="preserve">λ</m:t>
                    </m:r>
                  </m:num>
                  <m:den>
                    <m:sSub>
                      <m:e>
                        <m:r>
                          <m:t xml:space="preserve">μ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</m:den>
                </m:f>
                <m:r>
                  <m:t xml:space="preserve">∗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П3(С2)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3</m:t>
                    </m:r>
                  </m:sub>
                </m:sSub>
                <m:r>
                  <m:t xml:space="preserve">=</m:t>
                </m:r>
                <m:f>
                  <m:fPr>
                    <m:type m:val="lin"/>
                  </m:fPr>
                  <m:num>
                    <m:r>
                      <m:t xml:space="preserve">λ</m:t>
                    </m:r>
                  </m:num>
                  <m:den>
                    <m:sSub>
                      <m:e>
                        <m:r>
                          <m:t xml:space="preserve">μ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</m:den>
                </m:f>
                <m:r>
                  <m:t xml:space="preserve">∗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Сумм.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 xmlns:m="http://schemas.openxmlformats.org/officeDocument/2006/math">
              <m:r>
                <m:t xml:space="preserve">y</m:t>
              </m:r>
              <m:r>
                <m:t xml:space="preserve">=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3</m:t>
                      </m:r>
                    </m:sub>
                  </m:sSub>
                </m:e>
              </m:d>
            </m:oMath>
            <w:r>
              <w:rPr>
                <w:rStyle w:val="FootnoteAnchor"/>
                <w:sz w:val="24"/>
                <w:szCs w:val="24"/>
              </w:rPr>
              <w:footnoteReference w:id="2"/>
            </w:r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/>
        <w:tc>
          <w:tcPr>
            <w:tcW w:w="1851" w:type="dxa"/>
            <w:vMerge w:val="restart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</w:t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П1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ρ</m:t>
                    </m:r>
                  </m:e>
                  <m:sub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r>
                  <m:t xml:space="preserve">1</m:t>
                </m:r>
                <m: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7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0.9958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П2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ρ</m:t>
                    </m:r>
                  </m:e>
                  <m:sub>
                    <m:r>
                      <m:t xml:space="preserve">2</m:t>
                    </m:r>
                  </m:sub>
                </m:sSub>
                <m:r>
                  <m:t xml:space="preserve">=</m:t>
                </m:r>
                <m:r>
                  <m:t xml:space="preserve">1</m:t>
                </m:r>
                <m: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0.9972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Сумм.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 xmlns:m="http://schemas.openxmlformats.org/officeDocument/2006/math">
              <m:r>
                <m:t xml:space="preserve">ρ</m:t>
              </m:r>
              <m:r>
                <m:t xml:space="preserve">=</m:t>
              </m:r>
              <m:f>
                <m:fPr>
                  <m:type m:val="lin"/>
                </m:fPr>
                <m:num>
                  <m:r>
                    <m:t xml:space="preserve">1</m:t>
                  </m:r>
                </m:num>
                <m:den>
                  <m:r>
                    <m:t xml:space="preserve">2</m:t>
                  </m:r>
                </m:den>
              </m:f>
              <m:r>
                <m:t xml:space="preserve">∗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m:t xml:space="preserve">ρ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ρ</m:t>
                      </m:r>
                    </m:e>
                    <m:sub>
                      <m:r>
                        <m:t xml:space="preserve">2</m:t>
                      </m:r>
                    </m:sub>
                  </m:sSub>
                </m:e>
              </m:d>
            </m:oMath>
            <w:r>
              <w:rPr>
                <w:rStyle w:val="FootnoteAnchor"/>
                <w:sz w:val="24"/>
                <w:szCs w:val="24"/>
              </w:rPr>
              <w:footnoteReference w:id="3"/>
            </w:r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0.9965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П1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ρ</m:t>
                    </m:r>
                  </m:e>
                  <m:sub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r>
                  <m:t xml:space="preserve">1</m:t>
                </m:r>
                <m: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0.9242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П2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ρ</m:t>
                    </m:r>
                  </m:e>
                  <m:sub>
                    <m:r>
                      <m:t xml:space="preserve">2</m:t>
                    </m:r>
                  </m:sub>
                </m:sSub>
                <m:r>
                  <m:t xml:space="preserve">=</m:t>
                </m:r>
                <m:r>
                  <m:t xml:space="preserve">1</m:t>
                </m:r>
                <m: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...</m:t>
                    </m:r>
                    <m:r>
                      <m:t xml:space="preserve">+</m:t>
                    </m:r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16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18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0.5999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П3(С2)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ρ</m:t>
                    </m:r>
                  </m:e>
                  <m:sub>
                    <m:r>
                      <m:t xml:space="preserve">3</m:t>
                    </m:r>
                  </m:sub>
                </m:sSub>
                <m:r>
                  <m:t xml:space="preserve">=</m:t>
                </m:r>
                <m:r>
                  <m:t xml:space="preserve">1</m:t>
                </m:r>
                <m: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5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...</m:t>
                    </m:r>
                    <m:r>
                      <m:t xml:space="preserve">+</m:t>
                    </m:r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16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17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0.7498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Сумм.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ρ</m:t>
                </m:r>
                <m:r>
                  <m:t xml:space="preserve">=</m:t>
                </m:r>
                <m:f>
                  <m:fPr>
                    <m:type m:val="lin"/>
                  </m:fPr>
                  <m:num>
                    <m:r>
                      <m:t xml:space="preserve">1</m:t>
                    </m:r>
                  </m:num>
                  <m:den>
                    <m:r>
                      <m:t xml:space="preserve">3</m:t>
                    </m:r>
                  </m:den>
                </m:f>
                <m: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ρ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ρ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ρ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0.7580</w:t>
            </w:r>
          </w:p>
        </w:tc>
      </w:tr>
      <w:tr>
        <w:trPr/>
        <w:tc>
          <w:tcPr>
            <w:tcW w:w="1851" w:type="dxa"/>
            <w:vMerge w:val="restart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очереди</w:t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П1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П2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Сумм.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l</m:t>
                </m:r>
                <m:r>
                  <m:t xml:space="preserve">=</m:t>
                </m:r>
                <m:r>
                  <m:t xml:space="preserve">1</m:t>
                </m:r>
                <m: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9</m:t>
                        </m:r>
                      </m:sub>
                    </m:sSub>
                  </m:e>
                </m:d>
                <m:r>
                  <m:t xml:space="preserve">+</m:t>
                </m:r>
                <m:r>
                  <m:t xml:space="preserve">2</m:t>
                </m:r>
                <m: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5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10</m:t>
                        </m:r>
                      </m:sub>
                    </m:sSub>
                  </m:e>
                </m:d>
                <m:r>
                  <m:t xml:space="preserve">+</m:t>
                </m:r>
                <m:r>
                  <m:t xml:space="preserve">3</m:t>
                </m:r>
                <m: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6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11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2.546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П1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l</m:t>
                    </m:r>
                  </m:e>
                  <m:sub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r>
                  <m:t xml:space="preserve">1</m:t>
                </m:r>
                <m: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8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...</m:t>
                    </m:r>
                    <m:r>
                      <m:t xml:space="preserve">+</m:t>
                    </m:r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11</m:t>
                        </m:r>
                      </m:sub>
                    </m:sSub>
                  </m:e>
                </m:d>
                <m:r>
                  <m:t xml:space="preserve">+</m:t>
                </m:r>
                <m:r>
                  <m:t xml:space="preserve">...</m:t>
                </m:r>
                <m:r>
                  <m:t xml:space="preserve">+</m:t>
                </m:r>
                <m:r>
                  <m:t xml:space="preserve">3</m:t>
                </m:r>
                <m: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16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...</m:t>
                    </m:r>
                    <m:r>
                      <m:t xml:space="preserve">+</m:t>
                    </m:r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19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1.8344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П2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Прибор не имеет своей очереди</w:t>
            </w:r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П3(С2)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Прибор не имеет своей очереди</w:t>
            </w:r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Сумм.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l</m:t>
                </m:r>
                <m:r>
                  <m:t xml:space="preserve">=</m:t>
                </m:r>
                <m:sSub>
                  <m:e>
                    <m:r>
                      <m:t xml:space="preserve">l</m:t>
                    </m:r>
                  </m:e>
                  <m:sub>
                    <m: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1.8344</w:t>
            </w:r>
          </w:p>
        </w:tc>
      </w:tr>
      <w:tr>
        <w:trPr/>
        <w:tc>
          <w:tcPr>
            <w:tcW w:w="1851" w:type="dxa"/>
            <w:vMerge w:val="restart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заявок</w:t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П1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П2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Сумм.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m</m:t>
                </m:r>
                <m:r>
                  <m:t xml:space="preserve">=</m:t>
                </m:r>
                <m:sSub>
                  <m:e>
                    <m:r>
                      <m:t xml:space="preserve">m</m:t>
                    </m:r>
                  </m:e>
                  <m:sub>
                    <m:r>
                      <m:t xml:space="preserve">1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m</m:t>
                    </m:r>
                  </m:e>
                  <m:sub>
                    <m:r>
                      <m:t xml:space="preserve">2</m:t>
                    </m:r>
                  </m:sub>
                </m:sSub>
                <m:r>
                  <m:t xml:space="preserve">+</m:t>
                </m:r>
                <m:r>
                  <m:t xml:space="preserve">l</m:t>
                </m:r>
                <m:r>
                  <m:t xml:space="preserve">=</m:t>
                </m:r>
                <m:sSub>
                  <m:e>
                    <m:r>
                      <m:t xml:space="preserve">ρ</m:t>
                    </m:r>
                  </m:e>
                  <m:sub>
                    <m:r>
                      <m:t xml:space="preserve">1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ρ</m:t>
                    </m:r>
                  </m:e>
                  <m:sub>
                    <m:r>
                      <m:t xml:space="preserve">2</m:t>
                    </m:r>
                  </m:sub>
                </m:sSub>
                <m:r>
                  <m:t xml:space="preserve">+</m:t>
                </m:r>
                <m:r>
                  <m:t xml:space="preserve">l</m:t>
                </m:r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4.539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П1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m</m:t>
                    </m:r>
                  </m:e>
                  <m:sub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l</m:t>
                    </m:r>
                  </m:e>
                  <m:sub>
                    <m:r>
                      <m:t xml:space="preserve">1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ρ</m:t>
                    </m:r>
                  </m:e>
                  <m:sub>
                    <m: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2.758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П2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m</m:t>
                    </m:r>
                  </m:e>
                  <m:sub>
                    <m:r>
                      <m:t xml:space="preserve">2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l</m:t>
                    </m:r>
                  </m:e>
                  <m:sub>
                    <m:r>
                      <m:t xml:space="preserve">2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ρ</m:t>
                    </m:r>
                  </m:e>
                  <m:sub>
                    <m:r>
                      <m:t xml:space="preserve">2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ρ</m:t>
                    </m:r>
                  </m:e>
                  <m:sub>
                    <m: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0.5999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П3(С2)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m</m:t>
                    </m:r>
                  </m:e>
                  <m:sub>
                    <m:r>
                      <m:t xml:space="preserve">3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l</m:t>
                    </m:r>
                  </m:e>
                  <m:sub>
                    <m:r>
                      <m:t xml:space="preserve">3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ρ</m:t>
                    </m:r>
                  </m:e>
                  <m:sub>
                    <m:r>
                      <m:t xml:space="preserve">3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ρ</m:t>
                    </m:r>
                  </m:e>
                  <m:sub>
                    <m: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0.7498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Сумм.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m</m:t>
                </m:r>
                <m:r>
                  <m:t xml:space="preserve">=</m:t>
                </m:r>
                <m:sSub>
                  <m:e>
                    <m:r>
                      <m:t xml:space="preserve">m</m:t>
                    </m:r>
                  </m:e>
                  <m:sub>
                    <m:r>
                      <m:t xml:space="preserve">1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m</m:t>
                    </m:r>
                  </m:e>
                  <m:sub>
                    <m:r>
                      <m:t xml:space="preserve">2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m</m:t>
                    </m:r>
                  </m:e>
                  <m:sub>
                    <m: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4.1083</w:t>
            </w:r>
          </w:p>
        </w:tc>
      </w:tr>
      <w:tr>
        <w:trPr/>
        <w:tc>
          <w:tcPr>
            <w:tcW w:w="1851" w:type="dxa"/>
            <w:vMerge w:val="restart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ожидания</w:t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П1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П2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Сумм.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w</m:t>
                </m:r>
                <m:r>
                  <m:t xml:space="preserve">=</m:t>
                </m:r>
                <m:f>
                  <m:fPr>
                    <m:type m:val="lin"/>
                  </m:fPr>
                  <m:num>
                    <m:r>
                      <m:t xml:space="preserve">l</m:t>
                    </m:r>
                  </m:num>
                  <m:den>
                    <m:sSup>
                      <m:e>
                        <m:r>
                          <m:t xml:space="preserve">λ</m:t>
                        </m:r>
                      </m:e>
                      <m:sup>
                        <m:r>
                          <m:t xml:space="preserve">'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25.55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П1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w</m:t>
                    </m:r>
                  </m:e>
                  <m:sub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f>
                  <m:fPr>
                    <m:type m:val="lin"/>
                  </m:fPr>
                  <m:num>
                    <m:sSub>
                      <m:e>
                        <m:r>
                          <m:t xml:space="preserve">l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</m:num>
                  <m:den>
                    <m:sSubSup>
                      <m:e>
                        <m:r>
                          <m:t xml:space="preserve">λ</m:t>
                        </m:r>
                      </m:e>
                      <m:sub>
                        <m:r>
                          <m:t xml:space="preserve">1</m:t>
                        </m:r>
                      </m:sub>
                      <m:sup>
                        <m:r>
                          <m:t xml:space="preserve"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</w:t>
            </w:r>
            <w:r>
              <w:rPr>
                <w:sz w:val="24"/>
                <w:szCs w:val="24"/>
              </w:rPr>
              <w:t>70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П2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w</m:t>
                    </m:r>
                  </m:e>
                  <m:sub>
                    <m:r>
                      <m:t xml:space="preserve">2</m:t>
                    </m:r>
                  </m:sub>
                </m:sSub>
                <m:r>
                  <m:t xml:space="preserve">=</m:t>
                </m:r>
                <m:f>
                  <m:fPr>
                    <m:type m:val="lin"/>
                  </m:fPr>
                  <m:num>
                    <m:sSub>
                      <m:e>
                        <m:r>
                          <m:t xml:space="preserve">l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</m:num>
                  <m:den>
                    <m:sSubSup>
                      <m:e>
                        <m:r>
                          <m:t xml:space="preserve">λ</m:t>
                        </m:r>
                      </m:e>
                      <m:sub>
                        <m:r>
                          <m:t xml:space="preserve">2</m:t>
                        </m:r>
                      </m:sub>
                      <m:sup>
                        <m:r>
                          <m:t xml:space="preserve">'</m:t>
                        </m:r>
                      </m:sup>
                    </m:sSubSup>
                  </m:den>
                </m:f>
                <m:r>
                  <m:t xml:space="preserve">=</m:t>
                </m:r>
                <m:r>
                  <m:t xml:space="preserve">0</m:t>
                </m:r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П3(С2)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w</m:t>
                    </m:r>
                  </m:e>
                  <m:sub>
                    <m:r>
                      <m:t xml:space="preserve">3</m:t>
                    </m:r>
                  </m:sub>
                </m:sSub>
                <m:r>
                  <m:t xml:space="preserve">=</m:t>
                </m:r>
                <m:f>
                  <m:fPr>
                    <m:type m:val="lin"/>
                  </m:fPr>
                  <m:num>
                    <m:sSub>
                      <m:e>
                        <m:r>
                          <m:t xml:space="preserve">l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</m:num>
                  <m:den>
                    <m:sSubSup>
                      <m:e>
                        <m:r>
                          <m:t xml:space="preserve">λ</m:t>
                        </m:r>
                      </m:e>
                      <m:sub>
                        <m:r>
                          <m:t xml:space="preserve">3</m:t>
                        </m:r>
                      </m:sub>
                      <m:sup>
                        <m:r>
                          <m:t xml:space="preserve">'</m:t>
                        </m:r>
                      </m:sup>
                    </m:sSubSup>
                  </m:den>
                </m:f>
                <m:r>
                  <m:t xml:space="preserve">=</m:t>
                </m:r>
                <m:r>
                  <m:t xml:space="preserve">0</m:t>
                </m:r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Сумм.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w</m:t>
                </m:r>
                <m:r>
                  <m:t xml:space="preserve">=</m:t>
                </m:r>
                <m:f>
                  <m:fPr>
                    <m:type m:val="lin"/>
                  </m:fPr>
                  <m:num>
                    <m:r>
                      <m:t xml:space="preserve">l</m:t>
                    </m:r>
                  </m:num>
                  <m:den>
                    <m:sSup>
                      <m:e>
                        <m:r>
                          <m:t xml:space="preserve">λ</m:t>
                        </m:r>
                      </m:e>
                      <m:sup>
                        <m:r>
                          <m:t xml:space="preserve">'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16.13</w:t>
            </w:r>
          </w:p>
        </w:tc>
      </w:tr>
      <w:tr>
        <w:trPr/>
        <w:tc>
          <w:tcPr>
            <w:tcW w:w="1851" w:type="dxa"/>
            <w:vMerge w:val="restart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пребывания</w:t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П1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П2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Сумм.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u</m:t>
                </m:r>
                <m:r>
                  <m:t xml:space="preserve">=</m:t>
                </m:r>
                <m:f>
                  <m:fPr>
                    <m:type m:val="lin"/>
                  </m:fPr>
                  <m:num>
                    <m:r>
                      <m:t xml:space="preserve">m</m:t>
                    </m:r>
                  </m:num>
                  <m:den>
                    <m:sSup>
                      <m:e>
                        <m:r>
                          <m:t xml:space="preserve">λ</m:t>
                        </m:r>
                      </m:e>
                      <m:sup>
                        <m:r>
                          <m:t xml:space="preserve">'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45.54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П1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u</m:t>
                    </m:r>
                  </m:e>
                  <m:sub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f>
                  <m:fPr>
                    <m:type m:val="lin"/>
                  </m:fPr>
                  <m:num>
                    <m:sSub>
                      <m:e>
                        <m:r>
                          <m:t xml:space="preserve">m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</m:num>
                  <m:den>
                    <m:sSubSup>
                      <m:e>
                        <m:r>
                          <m:t xml:space="preserve">λ</m:t>
                        </m:r>
                      </m:e>
                      <m:sub>
                        <m:r>
                          <m:t xml:space="preserve">1</m:t>
                        </m:r>
                      </m:sub>
                      <m:sup>
                        <m:r>
                          <m:t xml:space="preserve"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59.70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П2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u</m:t>
                    </m:r>
                  </m:e>
                  <m:sub>
                    <m:r>
                      <m:t xml:space="preserve">2</m:t>
                    </m:r>
                  </m:sub>
                </m:sSub>
                <m:r>
                  <m:t xml:space="preserve">=</m:t>
                </m:r>
                <m:f>
                  <m:fPr>
                    <m:type m:val="lin"/>
                  </m:fPr>
                  <m:num>
                    <m:sSub>
                      <m:e>
                        <m:r>
                          <m:t xml:space="preserve">m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</m:num>
                  <m:den>
                    <m:sSubSup>
                      <m:e>
                        <m:r>
                          <m:t xml:space="preserve">λ</m:t>
                        </m:r>
                      </m:e>
                      <m:sub>
                        <m:r>
                          <m:t xml:space="preserve">2</m:t>
                        </m:r>
                      </m:sub>
                      <m:sup>
                        <m:r>
                          <m:t xml:space="preserve"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П3(С2)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u</m:t>
                    </m:r>
                  </m:e>
                  <m:sub>
                    <m:r>
                      <m:t xml:space="preserve">3</m:t>
                    </m:r>
                  </m:sub>
                </m:sSub>
                <m:r>
                  <m:t xml:space="preserve">=</m:t>
                </m:r>
                <m:f>
                  <m:fPr>
                    <m:type m:val="lin"/>
                  </m:fPr>
                  <m:num>
                    <m:sSub>
                      <m:e>
                        <m:r>
                          <m:t xml:space="preserve">m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</m:num>
                  <m:den>
                    <m:sSubSup>
                      <m:e>
                        <m:r>
                          <m:t xml:space="preserve">λ</m:t>
                        </m:r>
                      </m:e>
                      <m:sub>
                        <m:r>
                          <m:t xml:space="preserve">3</m:t>
                        </m:r>
                      </m:sub>
                      <m:sup>
                        <m:r>
                          <m:t xml:space="preserve"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Сумм.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u</m:t>
                </m:r>
                <m:r>
                  <m:t xml:space="preserve">=</m:t>
                </m:r>
                <m:f>
                  <m:fPr>
                    <m:type m:val="lin"/>
                  </m:fPr>
                  <m:num>
                    <m:r>
                      <m:t xml:space="preserve">m</m:t>
                    </m:r>
                  </m:num>
                  <m:den>
                    <m:sSup>
                      <m:e>
                        <m:r>
                          <m:t xml:space="preserve">λ</m:t>
                        </m:r>
                      </m:e>
                      <m:sup>
                        <m:r>
                          <m:t xml:space="preserve">'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36.13</w:t>
            </w:r>
          </w:p>
        </w:tc>
      </w:tr>
      <w:tr>
        <w:trPr/>
        <w:tc>
          <w:tcPr>
            <w:tcW w:w="1851" w:type="dxa"/>
            <w:vMerge w:val="restart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Вероятность потери</w:t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П1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П2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Сумм.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π</m:t>
                </m:r>
                <m:r>
                  <m:t xml:space="preserve">=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6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11</m:t>
                    </m:r>
                  </m:sub>
                </m:sSub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0.6678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П1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π</m:t>
                    </m:r>
                  </m:e>
                  <m:sub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16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17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18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19</m:t>
                    </m:r>
                  </m:sub>
                </m:sSub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0.3839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П2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π</m:t>
                    </m:r>
                  </m:e>
                  <m:sub>
                    <m:r>
                      <m:t xml:space="preserve">2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1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3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5</m:t>
                    </m:r>
                  </m:sub>
                </m:sSub>
                <m:r>
                  <m:t xml:space="preserve">+</m:t>
                </m:r>
                <m:r>
                  <m:t xml:space="preserve">...</m:t>
                </m:r>
                <m:r>
                  <m:t xml:space="preserve">+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17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19</m:t>
                    </m:r>
                  </m:sub>
                </m:sSub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0.6001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П3(С2)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π</m:t>
                    </m:r>
                  </m:e>
                  <m:sub>
                    <m:r>
                      <m:t xml:space="preserve">3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2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3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6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7</m:t>
                    </m:r>
                  </m:sub>
                </m:sSub>
                <m:r>
                  <m:t xml:space="preserve">+</m:t>
                </m:r>
                <m:r>
                  <m:t xml:space="preserve">...</m:t>
                </m:r>
                <m:r>
                  <m:t xml:space="preserve">+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18</m:t>
                    </m:r>
                  </m:sub>
                </m:sSub>
                <m:r>
                  <m:t xml:space="preserve">+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19</m:t>
                    </m:r>
                  </m:sub>
                </m:sSub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0.7500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Сумм.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 xmlns:m="http://schemas.openxmlformats.org/officeDocument/2006/math">
              <m:r>
                <m:t xml:space="preserve">π</m:t>
              </m:r>
              <m:r>
                <m:t xml:space="preserve">=</m:t>
              </m:r>
              <m:r>
                <m:t xml:space="preserve">P</m:t>
              </m:r>
              <m:r>
                <m:t xml:space="preserve">×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m:t xml:space="preserve">π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π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π</m:t>
                      </m:r>
                    </m:e>
                    <m:sub>
                      <m:r>
                        <m:t xml:space="preserve">3</m:t>
                      </m:r>
                    </m:sub>
                  </m:sSub>
                </m:e>
              </m:d>
            </m:oMath>
            <w:r>
              <w:rPr>
                <w:rStyle w:val="FootnoteAnchor"/>
                <w:sz w:val="24"/>
                <w:szCs w:val="24"/>
              </w:rPr>
              <w:footnoteReference w:id="4"/>
            </w:r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0.621</w:t>
            </w: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851" w:type="dxa"/>
            <w:vMerge w:val="restart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П1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П2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Сумм. (С1)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m:t xml:space="preserve">λ</m:t>
                    </m:r>
                  </m:e>
                  <m:sup>
                    <m:r>
                      <m:t xml:space="preserve">'</m:t>
                    </m:r>
                  </m:sup>
                </m:sSup>
                <m:r>
                  <m:t xml:space="preserve">=</m:t>
                </m:r>
                <m:r>
                  <m:t xml:space="preserve">λ</m:t>
                </m:r>
                <m: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1</m:t>
                    </m:r>
                    <m:r>
                      <m:t xml:space="preserve">−</m:t>
                    </m:r>
                    <m:r>
                      <m:t xml:space="preserve">π</m:t>
                    </m:r>
                  </m:e>
                </m:d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0.099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П1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 xmlns:m="http://schemas.openxmlformats.org/officeDocument/2006/math">
              <m:sSubSup>
                <m:e>
                  <m:r>
                    <m:t xml:space="preserve">λ</m:t>
                  </m:r>
                </m:e>
                <m:sub>
                  <m:r>
                    <m:t xml:space="preserve">1</m:t>
                  </m:r>
                </m:sub>
                <m:sup>
                  <m:r>
                    <m:t xml:space="preserve">'</m:t>
                  </m:r>
                </m:sup>
              </m:sSubSup>
              <m:r>
                <m:t xml:space="preserve">=</m:t>
              </m:r>
              <m:r>
                <m:t xml:space="preserve">λ</m:t>
              </m:r>
              <m:r>
                <m:t xml:space="preserve">∗</m:t>
              </m:r>
              <m:sSub>
                <m:e>
                  <m:r>
                    <m:t xml:space="preserve">p</m:t>
                  </m:r>
                </m:e>
                <m:sub>
                  <m:r>
                    <m:t xml:space="preserve">1</m:t>
                  </m:r>
                  <m:r>
                    <m:t xml:space="preserve">,</m:t>
                  </m:r>
                  <m:r>
                    <m:t xml:space="preserve">1</m:t>
                  </m:r>
                </m:sub>
              </m:sSub>
              <m:r>
                <m:t xml:space="preserve">∗</m:t>
              </m:r>
              <m:d>
                <m:dPr>
                  <m:begChr m:val="("/>
                  <m:endChr m:val=")"/>
                </m:dPr>
                <m:e>
                  <m:r>
                    <m:t xml:space="preserve">1</m:t>
                  </m:r>
                  <m:r>
                    <m:t xml:space="preserve">−</m:t>
                  </m:r>
                  <m:sSub>
                    <m:e>
                      <m:r>
                        <m:t xml:space="preserve">π</m:t>
                      </m:r>
                    </m:e>
                    <m:sub>
                      <m:r>
                        <m:t xml:space="preserve">1</m:t>
                      </m:r>
                    </m:sub>
                  </m:sSub>
                </m:e>
              </m:d>
            </m:oMath>
            <w:r>
              <w:rPr>
                <w:rStyle w:val="FootnoteAnchor"/>
                <w:sz w:val="24"/>
                <w:szCs w:val="24"/>
              </w:rPr>
              <w:footnoteReference w:id="5"/>
            </w:r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0.0462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П2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Sup>
                  <m:e>
                    <m:r>
                      <m:t xml:space="preserve">λ</m:t>
                    </m:r>
                  </m:e>
                  <m:sub>
                    <m:r>
                      <m:t xml:space="preserve">2</m:t>
                    </m:r>
                  </m:sub>
                  <m:sup>
                    <m:r>
                      <m:t xml:space="preserve">'</m:t>
                    </m:r>
                  </m:sup>
                </m:sSubSup>
                <m:r>
                  <m:t xml:space="preserve">=</m:t>
                </m:r>
                <m:r>
                  <m:t xml:space="preserve">λ</m:t>
                </m:r>
                <m:r>
                  <m:t xml:space="preserve">∗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1</m:t>
                    </m:r>
                    <m:r>
                      <m:t xml:space="preserve">,</m:t>
                    </m:r>
                    <m:r>
                      <m:t xml:space="preserve">2</m:t>
                    </m:r>
                  </m:sub>
                </m:sSub>
                <m: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1</m:t>
                    </m:r>
                    <m:r>
                      <m:t xml:space="preserve">−</m:t>
                    </m:r>
                    <m:sSub>
                      <m:e>
                        <m:r>
                          <m:t xml:space="preserve">π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>
              <w:rPr>
                <w:sz w:val="24"/>
                <w:szCs w:val="24"/>
              </w:rPr>
              <w:t>300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П3(С2)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Sup>
                  <m:e>
                    <m:r>
                      <m:t xml:space="preserve">λ</m:t>
                    </m:r>
                  </m:e>
                  <m:sub>
                    <m:r>
                      <m:t xml:space="preserve">3</m:t>
                    </m:r>
                  </m:sub>
                  <m:sup>
                    <m:r>
                      <m:t xml:space="preserve">'</m:t>
                    </m:r>
                  </m:sup>
                </m:sSubSup>
                <m:r>
                  <m:t xml:space="preserve">=</m:t>
                </m:r>
                <m:r>
                  <m:t xml:space="preserve">λ</m:t>
                </m:r>
                <m:r>
                  <m:t xml:space="preserve">∗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1</m:t>
                    </m:r>
                    <m:r>
                      <m:t xml:space="preserve">,</m:t>
                    </m:r>
                    <m:r>
                      <m:t xml:space="preserve">3</m:t>
                    </m:r>
                  </m:sub>
                </m:sSub>
                <m: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1</m:t>
                    </m:r>
                    <m:r>
                      <m:t xml:space="preserve">−</m:t>
                    </m:r>
                    <m:sSub>
                      <m:e>
                        <m:r>
                          <m:t xml:space="preserve">π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0.0375</w:t>
            </w:r>
          </w:p>
        </w:tc>
      </w:tr>
      <w:tr>
        <w:trPr/>
        <w:tc>
          <w:tcPr>
            <w:tcW w:w="1851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Сумм. (С2)</w:t>
            </w:r>
          </w:p>
        </w:tc>
        <w:tc>
          <w:tcPr>
            <w:tcW w:w="372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λ</m:t>
                </m:r>
                <m:r>
                  <m:t xml:space="preserve">'</m:t>
                </m:r>
                <m:r>
                  <m:t xml:space="preserve">=</m:t>
                </m:r>
                <m:r>
                  <m:t xml:space="preserve">λ</m:t>
                </m:r>
                <m: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1</m:t>
                    </m:r>
                    <m:r>
                      <m:t xml:space="preserve">−</m:t>
                    </m:r>
                    <m:r>
                      <m:t xml:space="preserve">π</m:t>
                    </m:r>
                  </m:e>
                </m:d>
              </m:oMath>
            </m:oMathPara>
          </w:p>
        </w:tc>
        <w:tc>
          <w:tcPr>
            <w:tcW w:w="133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0.1137</w:t>
            </w:r>
          </w:p>
        </w:tc>
      </w:tr>
    </w:tbl>
    <w:p>
      <w:pPr>
        <w:pStyle w:val="Heading2"/>
        <w:rPr/>
      </w:pPr>
      <w:bookmarkStart w:id="14" w:name="__RefHeading___Toc1714_3462711817"/>
      <w:bookmarkEnd w:id="14"/>
      <w:r>
        <w:rPr/>
        <w:t xml:space="preserve">Графики сравнительного анализа </w:t>
      </w:r>
      <w:r>
        <w:rPr/>
        <w:t>характеристик</w:t>
      </w:r>
    </w:p>
    <w:p>
      <w:pPr>
        <w:pStyle w:val="Style12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: Сравнительный анализ характеристик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20"/>
        <w:gridCol w:w="919"/>
        <w:gridCol w:w="1071"/>
        <w:gridCol w:w="1070"/>
        <w:gridCol w:w="1071"/>
        <w:gridCol w:w="1070"/>
        <w:gridCol w:w="1071"/>
        <w:gridCol w:w="1070"/>
        <w:gridCol w:w="1076"/>
      </w:tblGrid>
      <w:tr>
        <w:trPr/>
        <w:tc>
          <w:tcPr>
            <w:tcW w:w="12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9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Нагрузка</w:t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Загрузка</w:t>
            </w:r>
          </w:p>
        </w:tc>
        <w:tc>
          <w:tcPr>
            <w:tcW w:w="1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Длина очереди</w:t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Число заявок</w:t>
            </w:r>
          </w:p>
        </w:tc>
        <w:tc>
          <w:tcPr>
            <w:tcW w:w="1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Время ожидания</w:t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Время пребывания</w:t>
            </w:r>
          </w:p>
        </w:tc>
        <w:tc>
          <w:tcPr>
            <w:tcW w:w="1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Вероятности потери</w:t>
            </w:r>
          </w:p>
        </w:tc>
        <w:tc>
          <w:tcPr>
            <w:tcW w:w="10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Производительность</w:t>
            </w:r>
          </w:p>
        </w:tc>
      </w:tr>
      <w:tr>
        <w:trPr/>
        <w:tc>
          <w:tcPr>
            <w:tcW w:w="122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Система 1</w:t>
            </w:r>
          </w:p>
        </w:tc>
        <w:tc>
          <w:tcPr>
            <w:tcW w:w="9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6.000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0.9965</w:t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2.546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4.539</w:t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25.55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45.54</w:t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0.6678</w:t>
            </w:r>
          </w:p>
        </w:tc>
        <w:tc>
          <w:tcPr>
            <w:tcW w:w="10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0.0997</w:t>
            </w:r>
          </w:p>
        </w:tc>
      </w:tr>
      <w:tr>
        <w:trPr/>
        <w:tc>
          <w:tcPr>
            <w:tcW w:w="122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Система 2</w:t>
            </w:r>
          </w:p>
        </w:tc>
        <w:tc>
          <w:tcPr>
            <w:tcW w:w="9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6.000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0.7580</w:t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1.834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4.108</w:t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16.13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36.13</w:t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0.6210</w:t>
            </w:r>
          </w:p>
        </w:tc>
        <w:tc>
          <w:tcPr>
            <w:tcW w:w="10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0.1137</w:t>
            </w:r>
          </w:p>
        </w:tc>
      </w:tr>
      <w:tr>
        <w:trPr/>
        <w:tc>
          <w:tcPr>
            <w:tcW w:w="122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Отн. Разн.</w:t>
            </w:r>
          </w:p>
        </w:tc>
        <w:tc>
          <w:tcPr>
            <w:tcW w:w="9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0.00%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-23.93%</w:t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-27.95%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-9.49%</w:t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-36.87%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-20.66%</w:t>
            </w:r>
          </w:p>
        </w:tc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-7.01%</w:t>
            </w:r>
          </w:p>
        </w:tc>
        <w:tc>
          <w:tcPr>
            <w:tcW w:w="10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14.04%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mc:AlternateContent>
          <mc:Choice Requires="wps">
            <w:drawing>
              <wp:inline distT="0" distB="0" distL="0" distR="0">
                <wp:extent cx="5760085" cy="3578860"/>
                <wp:effectExtent l="0" t="0" r="0" b="0"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5788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2"/>
                              <w:spacing w:before="120" w:after="120"/>
                              <w:rPr/>
                            </w:pPr>
                            <w:r>
                              <w:rPr/>
                              <w:t xml:space="preserve">Таблица </w:t>
                              <w:drawing>
                                <wp:inline distT="0" distB="0" distL="0" distR="0">
                                  <wp:extent cx="5760085" cy="3239770"/>
                                  <wp:effectExtent l="0" t="0" r="0" b="0"/>
                                  <wp:docPr id="18" name="Object6" descr="" title="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Таблица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График с относительным сравнительным анализом характеристик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53.55pt;height:281.8pt;mso-wrap-distance-left:0pt;mso-wrap-distance-right:0pt;mso-wrap-distance-top:0pt;mso-wrap-distance-bottom:0pt;margin-top:-281.8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2"/>
                        <w:spacing w:before="120" w:after="120"/>
                        <w:rPr/>
                      </w:pPr>
                      <w:r>
                        <w:rPr/>
                        <w:t xml:space="preserve">Таблица </w:t>
                        <w:drawing>
                          <wp:inline distT="0" distB="0" distL="0" distR="0">
                            <wp:extent cx="5760085" cy="3239770"/>
                            <wp:effectExtent l="0" t="0" r="0" b="0"/>
                            <wp:docPr id="19" name="Object6" descr="" title="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Таблица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График с относительным сравнительным анализом характеристик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1"/>
        <w:rPr/>
      </w:pPr>
      <w:bookmarkStart w:id="15" w:name="__RefHeading___Toc2509_1555779569"/>
      <w:bookmarkEnd w:id="15"/>
      <w:r>
        <w:rPr/>
        <w:t>Итоги</w:t>
      </w:r>
    </w:p>
    <w:p>
      <w:pPr>
        <w:pStyle w:val="TextBody"/>
        <w:rPr/>
      </w:pPr>
      <w:r>
        <w:rPr/>
        <w:t xml:space="preserve">Рассмотренные системы довольно сильно различаются по структуре. В Система 1 — общая очередь (буфер), из которой два Прибора берут заявки. В Система 2 — для Приборов 2 и 3 отсутствует очередь, есть только для </w:t>
      </w:r>
      <w:r>
        <w:rPr/>
        <w:t>П</w:t>
      </w:r>
      <w:r>
        <w:rPr/>
        <w:t xml:space="preserve">рибора 1, однако </w:t>
      </w:r>
      <w:r>
        <w:rPr/>
        <w:t>количество</w:t>
      </w:r>
      <w:r>
        <w:rPr/>
        <w:t xml:space="preserve"> Приборов </w:t>
      </w:r>
      <w:r>
        <w:rPr/>
        <w:t>равняется</w:t>
      </w:r>
      <w:r>
        <w:rPr/>
        <w:t xml:space="preserve"> 3.</w:t>
      </w:r>
    </w:p>
    <w:p>
      <w:pPr>
        <w:pStyle w:val="TextBody"/>
        <w:rPr/>
      </w:pPr>
      <w:r>
        <w:rPr/>
        <w:t xml:space="preserve">Так как обе системы имеют нагрузку, равную 6, то необходимо как минимум 6 приборов, чтобы при наличии бесконечной очереди успевать обрабатывать заявки, </w:t>
      </w:r>
      <w:r>
        <w:rPr/>
        <w:t>если они поток не раскладывается на независимые подпотоки, идущие независимо к Приборам</w:t>
      </w:r>
      <w:r>
        <w:rPr/>
        <w:t xml:space="preserve">. В рассмотренных системах это не так, поэтому как минимум половина заявок в обоих системах обрасывается: </w:t>
      </w:r>
      <w:r>
        <w:rPr/>
        <w:t>в</w:t>
      </w:r>
      <w:r>
        <w:rPr/>
        <w:t xml:space="preserve"> первой - </w:t>
      </w:r>
      <w:r>
        <w:rPr/>
      </w:r>
      <m:oMath xmlns:m="http://schemas.openxmlformats.org/officeDocument/2006/math">
        <m:r>
          <m:t xml:space="preserve">π</m:t>
        </m:r>
        <m:r>
          <m:t xml:space="preserve">=</m:t>
        </m:r>
        <m:r>
          <m:t xml:space="preserve">0.6678</m:t>
        </m:r>
      </m:oMath>
      <w:r>
        <w:rPr/>
        <w:t xml:space="preserve">, во второй - </w:t>
      </w:r>
      <w:r>
        <w:rPr/>
      </w:r>
      <m:oMath xmlns:m="http://schemas.openxmlformats.org/officeDocument/2006/math">
        <m:r>
          <m:t xml:space="preserve">π</m:t>
        </m:r>
        <m:r>
          <m:t xml:space="preserve">=</m:t>
        </m:r>
        <m:r>
          <m:t xml:space="preserve">0.6210</m:t>
        </m:r>
      </m:oMath>
      <w:r>
        <w:rPr/>
        <w:t xml:space="preserve">. </w:t>
      </w:r>
    </w:p>
    <w:p>
      <w:pPr>
        <w:pStyle w:val="TextBody"/>
        <w:rPr/>
      </w:pPr>
      <w:r>
        <w:rPr/>
        <w:t xml:space="preserve">Благодаря тому, что в первой системе есть общая очередь, то Приборы, в случае когда </w:t>
      </w:r>
      <w:r>
        <w:rPr/>
        <w:t>обработают</w:t>
      </w:r>
      <w:r>
        <w:rPr/>
        <w:t xml:space="preserve"> заявку, могут получить следующую из нее, если очередь не пуста. Во второй системе для Приборов 2 и 3 это не так, поэтому у них значительно выше коэффициент потери и </w:t>
      </w:r>
      <w:r>
        <w:rPr/>
        <w:t xml:space="preserve">ниже </w:t>
      </w:r>
      <w:r>
        <w:rPr/>
        <w:t xml:space="preserve">загрузка. </w:t>
      </w:r>
      <w:r>
        <w:rPr/>
        <w:t xml:space="preserve">Также отсутствие очередей и разложение потока на подпотоки для каждого Прибора влияет в целом на общую длину очереди, </w:t>
      </w:r>
      <w:r>
        <w:rPr/>
        <w:t xml:space="preserve">и, соответственно, на время пребывания и время ожидания, </w:t>
      </w:r>
      <w:r>
        <w:rPr/>
        <w:t xml:space="preserve">поскольку теперь для Прибора 1 нагрузка становится равной 1.5, в отличие от Система 1, где нагрузка к очереди равна 6, </w:t>
      </w:r>
      <w:r>
        <w:rPr/>
        <w:t xml:space="preserve">соответственно средняя длина очереди понижается, что также видно и на результатах. </w:t>
      </w:r>
    </w:p>
    <w:p>
      <w:pPr>
        <w:pStyle w:val="TextBody"/>
        <w:rPr/>
      </w:pPr>
      <w:r>
        <w:rPr/>
        <w:t>Несмотря на то, что средняя загрузка в Система 2 ниже по сравнению с Система 1, из-за наличия трех приборов вместо двух, производительность системы все-же выше на 14%.</w:t>
      </w:r>
    </w:p>
    <w:p>
      <w:pPr>
        <w:pStyle w:val="TextBody"/>
        <w:spacing w:before="0" w:after="173"/>
        <w:rPr/>
      </w:pPr>
      <w:r>
        <w:rPr/>
        <w:t xml:space="preserve">Таким образом, если обобщить все вышесказанное, получим, что Система 2 имеет ниже загрузку (-24%), длину очереди (-28%), число заявок (-9.5%), время ожидания (-37%), время пребывания (-21%), вероятность потери (-7%), и выше производительность (14%). Поскольку требуется выбрать систему, с наибольшей загрузкой, то ей является Система 1, </w:t>
      </w:r>
      <w:r>
        <w:rPr/>
        <w:t>обладающая значением 99.65% при вероятности потери 67%.</w:t>
      </w:r>
    </w:p>
    <w:sectPr>
      <w:footnotePr>
        <w:numFmt w:val="decimal"/>
      </w:footnote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Times New Roman">
    <w:charset w:val="01"/>
    <w:family w:val="roman"/>
    <w:pitch w:val="default"/>
  </w:font>
  <w:font w:name="Times New Roman"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173"/>
        <w:rPr/>
      </w:pPr>
      <w:r>
        <w:rPr>
          <w:rStyle w:val="FootnoteCharacters"/>
        </w:rPr>
        <w:footnoteRef/>
      </w:r>
      <w:r>
        <w:rPr/>
        <w:tab/>
        <w:t xml:space="preserve">Здесь можно рассмотреть как </w:t>
      </w:r>
      <w:r>
        <w:rPr/>
        <w:t>систему, состоящую из меньших</w:t>
      </w:r>
      <w:r>
        <w:rPr/>
        <w:t xml:space="preserve"> систем, поэтому складываем</w:t>
      </w:r>
    </w:p>
  </w:footnote>
  <w:footnote w:id="3">
    <w:p>
      <w:pPr>
        <w:pStyle w:val="Footnote"/>
        <w:suppressLineNumbers/>
        <w:spacing w:before="0" w:after="173"/>
        <w:ind w:start="340" w:hanging="340"/>
        <w:rPr/>
      </w:pPr>
      <w:r>
        <w:rPr>
          <w:rStyle w:val="FootnoteCharacters"/>
        </w:rPr>
        <w:footnoteRef/>
      </w: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f>
                <m:fPr>
                  <m:type m:val="lin"/>
                </m:fPr>
                <m:num>
                  <m:r>
                    <m:t xml:space="preserve">1</m:t>
                  </m:r>
                </m:num>
                <m:den>
                  <m:r>
                    <m:t xml:space="preserve">2</m:t>
                  </m:r>
                </m:den>
              </m:f>
              <m:r>
                <m:t xml:space="preserve">+</m:t>
              </m:r>
              <m:f>
                <m:fPr>
                  <m:type m:val="lin"/>
                </m:fPr>
                <m:num>
                  <m:r>
                    <m:t xml:space="preserve">1</m:t>
                  </m:r>
                </m:num>
                <m:den>
                  <m:r>
                    <m:t xml:space="preserve">2</m:t>
                  </m:r>
                </m:den>
              </m:f>
            </m:e>
          </m:d>
          <m:r>
            <m:t xml:space="preserve">−</m:t>
          </m:r>
          <m:d>
            <m:dPr>
              <m:begChr m:val="("/>
              <m:endChr m:val=")"/>
            </m:dPr>
            <m:e>
              <m:f>
                <m:fPr>
                  <m:type m:val="lin"/>
                </m:fPr>
                <m:num>
                  <m:r>
                    <m:t xml:space="preserve">1</m:t>
                  </m:r>
                </m:num>
                <m:den>
                  <m:r>
                    <m:t xml:space="preserve">2</m:t>
                  </m:r>
                </m:den>
              </m:f>
              <m:r>
                <m:t xml:space="preserve">∗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m:t xml:space="preserve">p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p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p</m:t>
                      </m:r>
                    </m:e>
                    <m:sub>
                      <m:r>
                        <m:t xml:space="preserve">7</m:t>
                      </m:r>
                    </m:sub>
                  </m:sSub>
                </m:e>
              </m:d>
              <m:r>
                <m:t xml:space="preserve">+</m:t>
              </m:r>
              <m:f>
                <m:fPr>
                  <m:type m:val="lin"/>
                </m:fPr>
                <m:num>
                  <m:r>
                    <m:t xml:space="preserve">1</m:t>
                  </m:r>
                </m:num>
                <m:den>
                  <m:r>
                    <m:t xml:space="preserve">2</m:t>
                  </m:r>
                </m:den>
              </m:f>
              <m:r>
                <m:t xml:space="preserve">∗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m:t xml:space="preserve">p</m:t>
                      </m:r>
                    </m:e>
                    <m:sub>
                      <m:r>
                        <m:t xml:space="preserve">0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p</m:t>
                      </m:r>
                    </m:e>
                    <m:sub>
                      <m:r>
                        <m:t xml:space="preserve">1</m:t>
                      </m:r>
                    </m:sub>
                  </m:sSub>
                </m:e>
              </m:d>
            </m:e>
          </m:d>
          <m:r>
            <m:t xml:space="preserve">=</m:t>
          </m:r>
          <m:f>
            <m:fPr>
              <m:type m:val="lin"/>
            </m:fPr>
            <m:num>
              <m:r>
                <m:t xml:space="preserve">1</m:t>
              </m:r>
            </m:num>
            <m:den>
              <m:r>
                <m:t xml:space="preserve">2</m:t>
              </m:r>
            </m:den>
          </m:f>
          <m:r>
            <m:t xml:space="preserve">∗</m:t>
          </m:r>
          <m:d>
            <m:dPr>
              <m:begChr m:val="("/>
              <m:endChr m:val=")"/>
            </m:dPr>
            <m:e>
              <m:sSub>
                <m:e>
                  <m:r>
                    <m:t xml:space="preserve">ρ</m:t>
                  </m:r>
                </m:e>
                <m:sub>
                  <m:r>
                    <m:t xml:space="preserve">1</m:t>
                  </m:r>
                </m:sub>
              </m:sSub>
            </m:e>
          </m:d>
          <m:r>
            <m:t xml:space="preserve">+</m:t>
          </m:r>
          <m:f>
            <m:fPr>
              <m:type m:val="lin"/>
            </m:fPr>
            <m:num>
              <m:r>
                <m:t xml:space="preserve">1</m:t>
              </m:r>
            </m:num>
            <m:den>
              <m:r>
                <m:t xml:space="preserve">2</m:t>
              </m:r>
            </m:den>
          </m:f>
          <m:r>
            <m:t xml:space="preserve">∗</m:t>
          </m:r>
          <m:d>
            <m:dPr>
              <m:begChr m:val="("/>
              <m:endChr m:val=")"/>
            </m:dPr>
            <m:e>
              <m:sSub>
                <m:e>
                  <m:r>
                    <m:t xml:space="preserve">ρ</m:t>
                  </m:r>
                </m:e>
                <m:sub>
                  <m:r>
                    <m:t xml:space="preserve">2</m:t>
                  </m:r>
                </m:sub>
              </m:sSub>
            </m:e>
          </m:d>
          <m:r>
            <m:t xml:space="preserve">=</m:t>
          </m:r>
          <m:f>
            <m:fPr>
              <m:type m:val="lin"/>
            </m:fPr>
            <m:num>
              <m:r>
                <m:t xml:space="preserve">1</m:t>
              </m:r>
            </m:num>
            <m:den>
              <m:r>
                <m:t xml:space="preserve">2</m:t>
              </m:r>
            </m:den>
          </m:f>
          <m:r>
            <m:t xml:space="preserve">∗</m:t>
          </m:r>
          <m:d>
            <m:dPr>
              <m:begChr m:val="("/>
              <m:endChr m:val=")"/>
            </m:dPr>
            <m:e>
              <m:sSub>
                <m:e>
                  <m:r>
                    <m:t xml:space="preserve">ρ</m:t>
                  </m:r>
                </m:e>
                <m:sub>
                  <m:r>
                    <m:t xml:space="preserve">1</m:t>
                  </m:r>
                </m:sub>
              </m:sSub>
              <m:r>
                <m:t xml:space="preserve">+</m:t>
              </m:r>
              <m:sSub>
                <m:e>
                  <m:r>
                    <m:t xml:space="preserve">ρ</m:t>
                  </m:r>
                </m:e>
                <m:sub>
                  <m:r>
                    <m:t xml:space="preserve">2</m:t>
                  </m:r>
                </m:sub>
              </m:sSub>
            </m:e>
          </m:d>
        </m:oMath>
      </m:oMathPara>
    </w:p>
  </w:footnote>
  <w:footnote w:id="4">
    <w:p>
      <w:pPr>
        <w:pStyle w:val="Footnote"/>
        <w:spacing w:before="0" w:after="173"/>
        <w:rPr/>
      </w:pPr>
      <w:r>
        <w:rPr>
          <w:rStyle w:val="FootnoteCharacters"/>
        </w:rPr>
        <w:footnoteRef/>
      </w:r>
      <w:r>
        <w:rPr/>
        <w:tab/>
        <w:t xml:space="preserve">P — столбец вероятностей </w:t>
      </w:r>
      <w:r>
        <w:rPr/>
        <w:t>поступления</w:t>
      </w:r>
      <w:r>
        <w:rPr/>
        <w:t xml:space="preserve"> заявок к разным приборам. Операция эквивалентна матричному умножению матриц размерности (1x3) и (3x1)</w:t>
      </w:r>
    </w:p>
  </w:footnote>
  <w:footnote w:id="5">
    <w:p>
      <w:pPr>
        <w:pStyle w:val="Footnote"/>
        <w:spacing w:before="0" w:after="173"/>
        <w:rPr/>
      </w:pPr>
      <w:r>
        <w:rPr>
          <w:rStyle w:val="FootnoteCharacters"/>
        </w:rPr>
        <w:footnoteRef/>
      </w:r>
      <w:r>
        <w:rPr/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1</m:t>
            </m:r>
            <m:r>
              <m:t xml:space="preserve">,</m:t>
            </m:r>
            <m:r>
              <m:t xml:space="preserve">1</m:t>
            </m:r>
          </m:sub>
        </m:sSub>
      </m:oMath>
      <w:r>
        <w:rPr/>
        <w:t>- элемент матрицы поступления заявок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decimal"/>
      <w:lvlText w:val="%1.%2.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decimal"/>
      <w:lvlText w:val="%1.%2.%3.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decimal"/>
      <w:lvlText w:val="%1.%2.%3.%4."/>
      <w:lvlJc w:val="start"/>
      <w:pPr>
        <w:tabs>
          <w:tab w:val="num" w:pos="0"/>
        </w:tabs>
        <w:ind w:start="0" w:hanging="0"/>
      </w:pPr>
    </w:lvl>
    <w:lvl w:ilvl="4">
      <w:start w:val="1"/>
      <w:numFmt w:val="decimal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decimal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decimal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decimal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decimal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hd w:fill="FFFFFF" w:val="clear"/>
      <w:kinsoku w:val="true"/>
      <w:overflowPunct w:val="true"/>
      <w:autoSpaceDE w:val="true"/>
      <w:bidi w:val="0"/>
      <w:spacing w:lineRule="auto" w:line="360" w:before="0" w:after="173"/>
      <w:ind w:start="0" w:end="0" w:hanging="0"/>
      <w:jc w:val="start"/>
    </w:pPr>
    <w:rPr>
      <w:rFonts w:ascii="Times New Roman" w:hAnsi="Times New Roman" w:eastAsia="Droid Sans Fallback" w:cs="Noto Sans Devanagari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Times New Roman" w:hAnsi="Times New Roman"/>
      <w:b/>
      <w:bCs/>
      <w:sz w:val="40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6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/>
      <w:sz w:val="32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Times New Roman" w:hAnsi="Times New Roman"/>
      <w:b/>
      <w:bCs/>
      <w:i w:val="false"/>
      <w:iCs/>
      <w:sz w:val="28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173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  <w:spacing w:lineRule="auto" w:line="276" w:before="0" w:after="0"/>
    </w:pPr>
    <w:rPr>
      <w:sz w:val="26"/>
    </w:rPr>
  </w:style>
  <w:style w:type="paragraph" w:styleId="Figure">
    <w:name w:val="Figure"/>
    <w:basedOn w:val="Caption"/>
    <w:qFormat/>
    <w:pPr/>
    <w:rPr/>
  </w:style>
  <w:style w:type="paragraph" w:styleId="Style10">
    <w:name w:val="Рис"/>
    <w:basedOn w:val="Caption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1">
    <w:name w:val="Рисунок"/>
    <w:basedOn w:val="Caption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">
    <w:name w:val="Table"/>
    <w:basedOn w:val="Caption"/>
    <w:qFormat/>
    <w:pPr/>
    <w:rPr/>
  </w:style>
  <w:style w:type="paragraph" w:styleId="Style12">
    <w:name w:val="Таблица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7" w:end="0" w:hanging="0"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Footnote">
    <w:name w:val="Footnote Text"/>
    <w:basedOn w:val="Normal"/>
    <w:pPr>
      <w:suppressLineNumbers/>
      <w:ind w:start="340" w:hanging="340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start="34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chart" Target="charts/chart1.xml"/><Relationship Id="rId14" Type="http://schemas.openxmlformats.org/officeDocument/2006/relationships/chart" Target="charts/chart2.xml"/><Relationship Id="rId15" Type="http://schemas.openxmlformats.org/officeDocument/2006/relationships/footnotes" Target="footnotes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Нагрузка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ru-RU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Система 1</c:v>
                </c:pt>
                <c:pt idx="1">
                  <c:v>Система 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Загрузка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ru-RU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Система 1</c:v>
                </c:pt>
                <c:pt idx="1">
                  <c:v>Система 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"/>
                <c:pt idx="0">
                  <c:v>1</c:v>
                </c:pt>
                <c:pt idx="1">
                  <c:v>0.760662318113397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Длина очереди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ru-RU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Система 1</c:v>
                </c:pt>
                <c:pt idx="1">
                  <c:v>Система 2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2"/>
                <c:pt idx="0">
                  <c:v>1</c:v>
                </c:pt>
                <c:pt idx="1">
                  <c:v>0.720502749410841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Число заявок</c:v>
                </c:pt>
              </c:strCache>
            </c:strRef>
          </c:tx>
          <c:spPr>
            <a:solidFill>
              <a:srgbClr val="579d1c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ru-RU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Система 1</c:v>
                </c:pt>
                <c:pt idx="1">
                  <c:v>Система 2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2"/>
                <c:pt idx="0">
                  <c:v>1</c:v>
                </c:pt>
                <c:pt idx="1">
                  <c:v>0.905111257986341</c:v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Время ожидания</c:v>
                </c:pt>
              </c:strCache>
            </c:strRef>
          </c:tx>
          <c:spPr>
            <a:solidFill>
              <a:srgbClr val="7e0021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ru-RU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Система 1</c:v>
                </c:pt>
                <c:pt idx="1">
                  <c:v>Система 2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2"/>
                <c:pt idx="0">
                  <c:v>1</c:v>
                </c:pt>
                <c:pt idx="1">
                  <c:v>0.631311154598826</c:v>
                </c:pt>
              </c:numCache>
            </c:numRef>
          </c:val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Время пребывания</c:v>
                </c:pt>
              </c:strCache>
            </c:strRef>
          </c:tx>
          <c:spPr>
            <a:solidFill>
              <a:srgbClr val="83caff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ru-RU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Система 1</c:v>
                </c:pt>
                <c:pt idx="1">
                  <c:v>Система 2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2"/>
                <c:pt idx="0">
                  <c:v>1</c:v>
                </c:pt>
                <c:pt idx="1">
                  <c:v>0.793368467281511</c:v>
                </c:pt>
              </c:numCache>
            </c:numRef>
          </c:val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Вероятности потери</c:v>
                </c:pt>
              </c:strCache>
            </c:strRef>
          </c:tx>
          <c:spPr>
            <a:solidFill>
              <a:srgbClr val="314004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ru-RU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Система 1</c:v>
                </c:pt>
                <c:pt idx="1">
                  <c:v>Система 2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2"/>
                <c:pt idx="0">
                  <c:v>1</c:v>
                </c:pt>
                <c:pt idx="1">
                  <c:v>0.929919137466307</c:v>
                </c:pt>
              </c:numCache>
            </c:numRef>
          </c:val>
        </c:ser>
        <c:ser>
          <c:idx val="7"/>
          <c:order val="7"/>
          <c:tx>
            <c:strRef>
              <c:f>label 7</c:f>
              <c:strCache>
                <c:ptCount val="1"/>
                <c:pt idx="0">
                  <c:v>Производительность</c:v>
                </c:pt>
              </c:strCache>
            </c:strRef>
          </c:tx>
          <c:spPr>
            <a:solidFill>
              <a:srgbClr val="aecf00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ru-RU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Система 1</c:v>
                </c:pt>
                <c:pt idx="1">
                  <c:v>Система 2</c:v>
                </c:pt>
              </c:strCache>
            </c:strRef>
          </c:cat>
          <c:val>
            <c:numRef>
              <c:f>7</c:f>
              <c:numCache>
                <c:formatCode>General</c:formatCode>
                <c:ptCount val="2"/>
                <c:pt idx="0">
                  <c:v>1</c:v>
                </c:pt>
                <c:pt idx="1">
                  <c:v>1.14042126379137</c:v>
                </c:pt>
              </c:numCache>
            </c:numRef>
          </c:val>
        </c:ser>
        <c:gapWidth val="100"/>
        <c:overlap val="0"/>
        <c:axId val="98411593"/>
        <c:axId val="88790025"/>
      </c:barChart>
      <c:catAx>
        <c:axId val="98411593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lang="ru-RU" sz="1000" spc="-1" strike="noStrike">
                <a:latin typeface="Arial"/>
              </a:defRPr>
            </a:pPr>
          </a:p>
        </c:txPr>
        <c:crossAx val="88790025"/>
        <c:crosses val="autoZero"/>
        <c:auto val="1"/>
        <c:lblAlgn val="ctr"/>
        <c:lblOffset val="100"/>
        <c:noMultiLvlLbl val="0"/>
      </c:catAx>
      <c:valAx>
        <c:axId val="88790025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0.00%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lang="ru-RU" sz="1000" spc="-1" strike="noStrike">
                <a:latin typeface="Arial"/>
              </a:defRPr>
            </a:pPr>
          </a:p>
        </c:txPr>
        <c:crossAx val="98411593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lang="ru-RU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Нагрузка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ru-RU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Система 1</c:v>
                </c:pt>
                <c:pt idx="1">
                  <c:v>Система 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Загрузка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ru-RU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Система 1</c:v>
                </c:pt>
                <c:pt idx="1">
                  <c:v>Система 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"/>
                <c:pt idx="0">
                  <c:v>1</c:v>
                </c:pt>
                <c:pt idx="1">
                  <c:v>0.760662318113397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Длина очереди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ru-RU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Система 1</c:v>
                </c:pt>
                <c:pt idx="1">
                  <c:v>Система 2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2"/>
                <c:pt idx="0">
                  <c:v>1</c:v>
                </c:pt>
                <c:pt idx="1">
                  <c:v>0.720502749410841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Число заявок</c:v>
                </c:pt>
              </c:strCache>
            </c:strRef>
          </c:tx>
          <c:spPr>
            <a:solidFill>
              <a:srgbClr val="579d1c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ru-RU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Система 1</c:v>
                </c:pt>
                <c:pt idx="1">
                  <c:v>Система 2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2"/>
                <c:pt idx="0">
                  <c:v>1</c:v>
                </c:pt>
                <c:pt idx="1">
                  <c:v>0.905111257986341</c:v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Время ожидания</c:v>
                </c:pt>
              </c:strCache>
            </c:strRef>
          </c:tx>
          <c:spPr>
            <a:solidFill>
              <a:srgbClr val="7e0021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ru-RU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Система 1</c:v>
                </c:pt>
                <c:pt idx="1">
                  <c:v>Система 2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2"/>
                <c:pt idx="0">
                  <c:v>1</c:v>
                </c:pt>
                <c:pt idx="1">
                  <c:v>0.631311154598826</c:v>
                </c:pt>
              </c:numCache>
            </c:numRef>
          </c:val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Время пребывания</c:v>
                </c:pt>
              </c:strCache>
            </c:strRef>
          </c:tx>
          <c:spPr>
            <a:solidFill>
              <a:srgbClr val="83caff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ru-RU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Система 1</c:v>
                </c:pt>
                <c:pt idx="1">
                  <c:v>Система 2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2"/>
                <c:pt idx="0">
                  <c:v>1</c:v>
                </c:pt>
                <c:pt idx="1">
                  <c:v>0.793368467281511</c:v>
                </c:pt>
              </c:numCache>
            </c:numRef>
          </c:val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Вероятности потери</c:v>
                </c:pt>
              </c:strCache>
            </c:strRef>
          </c:tx>
          <c:spPr>
            <a:solidFill>
              <a:srgbClr val="314004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ru-RU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Система 1</c:v>
                </c:pt>
                <c:pt idx="1">
                  <c:v>Система 2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2"/>
                <c:pt idx="0">
                  <c:v>1</c:v>
                </c:pt>
                <c:pt idx="1">
                  <c:v>0.929919137466307</c:v>
                </c:pt>
              </c:numCache>
            </c:numRef>
          </c:val>
        </c:ser>
        <c:ser>
          <c:idx val="7"/>
          <c:order val="7"/>
          <c:tx>
            <c:strRef>
              <c:f>label 7</c:f>
              <c:strCache>
                <c:ptCount val="1"/>
                <c:pt idx="0">
                  <c:v>Производительность</c:v>
                </c:pt>
              </c:strCache>
            </c:strRef>
          </c:tx>
          <c:spPr>
            <a:solidFill>
              <a:srgbClr val="aecf00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ru-RU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"/>
                <c:pt idx="0">
                  <c:v>Система 1</c:v>
                </c:pt>
                <c:pt idx="1">
                  <c:v>Система 2</c:v>
                </c:pt>
              </c:strCache>
            </c:strRef>
          </c:cat>
          <c:val>
            <c:numRef>
              <c:f>7</c:f>
              <c:numCache>
                <c:formatCode>General</c:formatCode>
                <c:ptCount val="2"/>
                <c:pt idx="0">
                  <c:v>1</c:v>
                </c:pt>
                <c:pt idx="1">
                  <c:v>1.14042126379137</c:v>
                </c:pt>
              </c:numCache>
            </c:numRef>
          </c:val>
        </c:ser>
        <c:gapWidth val="100"/>
        <c:overlap val="0"/>
        <c:axId val="75156312"/>
        <c:axId val="3753319"/>
      </c:barChart>
      <c:catAx>
        <c:axId val="751563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lang="ru-RU" sz="1000" spc="-1" strike="noStrike">
                <a:latin typeface="Arial"/>
              </a:defRPr>
            </a:pPr>
          </a:p>
        </c:txPr>
        <c:crossAx val="3753319"/>
        <c:crosses val="autoZero"/>
        <c:auto val="1"/>
        <c:lblAlgn val="ctr"/>
        <c:lblOffset val="100"/>
        <c:noMultiLvlLbl val="0"/>
      </c:catAx>
      <c:valAx>
        <c:axId val="3753319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0.00%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lang="ru-RU" sz="1000" spc="-1" strike="noStrike">
                <a:latin typeface="Arial"/>
              </a:defRPr>
            </a:pPr>
          </a:p>
        </c:txPr>
        <c:crossAx val="75156312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lang="ru-RU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5856</TotalTime>
  <Application>LibreOffice/7.5.5.2$Linux_X86_64 LibreOffice_project/50$Build-2</Application>
  <AppVersion>15.0000</AppVersion>
  <Pages>17</Pages>
  <Words>2056</Words>
  <Characters>11644</Characters>
  <CharactersWithSpaces>12990</CharactersWithSpaces>
  <Paragraphs>758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2023-02-25T09:51:19Z</dcterms:created>
  <dc:creator/>
  <dc:description/>
  <dc:language>en-US</dc:language>
  <cp:lastModifiedBy/>
  <dcterms:modified xsi:type="dcterms:W3CDTF">2023-11-01T17:54:08Z</dcterms:modified>
  <cp:revision>405</cp:revision>
  <dc:subject/>
  <dc:title/>
</cp:coreProperties>
</file>