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o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UNIVERSIDAD </w:t>
      </w:r>
      <w:r>
        <w:rPr>
          <w:rFonts w:ascii="Times New Roman" w:hAnsi="Times New Roman"/>
          <w:b/>
          <w:bCs/>
        </w:rPr>
        <w:t xml:space="preserve">ESTATAL </w:t>
      </w: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4791075</wp:posOffset>
            </wp:positionH>
            <wp:positionV relativeFrom="paragraph">
              <wp:posOffset>-610870</wp:posOffset>
            </wp:positionV>
            <wp:extent cx="1102360" cy="1064260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273" t="0" r="1212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DE BOLÍVAR</w:t>
      </w:r>
    </w:p>
    <w:p>
      <w:pPr>
        <w:pStyle w:val="Fo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Fo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Fo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FACULTAD DE CIENCIAS ADMINISTRATIVAS, GESTIÓN EMPRESARIAL E INFORMÁTICA</w:t>
      </w:r>
    </w:p>
    <w:p>
      <w:pPr>
        <w:pStyle w:val="Fo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Foto"/>
        <w:rPr>
          <w:rFonts w:ascii="Times New Roman" w:hAnsi="Times New Roman"/>
        </w:rPr>
      </w:pPr>
      <w:r>
        <w:rPr>
          <w:rFonts w:ascii="Times New Roman" w:hAnsi="Times New Roman"/>
        </w:rPr>
        <w:t>CARRERA DE INGIENERÍA EN SOFTWARE</w:t>
      </w:r>
    </w:p>
    <w:p>
      <w:pPr>
        <w:pStyle w:val="Fo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Fo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Fo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SISTEMAS DE INFORMACIÓN</w:t>
      </w:r>
    </w:p>
    <w:p>
      <w:pPr>
        <w:pStyle w:val="Fo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Fo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Fo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215130" cy="4232910"/>
            <wp:effectExtent l="0" t="0" r="0" b="0"/>
            <wp:docPr id="2" name="Imagen 1" descr="Gráfic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Gráfico de barra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o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Informacindecontac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Informacindecontac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Informacindecontacto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TEMA:</w:t>
      </w:r>
      <w:r>
        <w:rPr>
          <w:rFonts w:ascii="Times New Roman" w:hAnsi="Times New Roman"/>
          <w:i/>
          <w:iCs/>
          <w:sz w:val="28"/>
          <w:szCs w:val="28"/>
        </w:rPr>
        <w:t xml:space="preserve"> Modelo de Nolan</w:t>
      </w:r>
    </w:p>
    <w:p>
      <w:pPr>
        <w:pStyle w:val="Informacindecontac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Informacindecontac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Ariel Alejandro Calder</w:t>
      </w:r>
      <w:r>
        <w:rPr>
          <w:rFonts w:ascii="Times New Roman" w:hAnsi="Times New Roman"/>
          <w:sz w:val="24"/>
          <w:szCs w:val="24"/>
          <w:lang w:val="es-EC"/>
        </w:rPr>
        <w:t>ó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lang w:bidi="es-ES"/>
        </w:rPr>
        <w:t xml:space="preserve"> | </w:t>
      </w:r>
      <w:r>
        <w:rPr>
          <w:rFonts w:ascii="Times New Roman" w:hAnsi="Times New Roman"/>
          <w:sz w:val="24"/>
          <w:szCs w:val="24"/>
          <w:lang w:bidi="es-ES"/>
        </w:rPr>
        <w:t>18</w:t>
      </w:r>
      <w:r>
        <w:rPr>
          <w:rFonts w:ascii="Times New Roman" w:hAnsi="Times New Roman"/>
          <w:sz w:val="24"/>
          <w:szCs w:val="24"/>
          <w:lang w:bidi="es-ES"/>
        </w:rPr>
        <w:t xml:space="preserve"> de </w:t>
      </w:r>
      <w:r>
        <w:rPr>
          <w:rFonts w:ascii="Times New Roman" w:hAnsi="Times New Roman"/>
          <w:sz w:val="24"/>
          <w:szCs w:val="24"/>
          <w:lang w:bidi="es-ES"/>
        </w:rPr>
        <w:t xml:space="preserve">Marzo </w:t>
      </w:r>
      <w:r>
        <w:rPr>
          <w:rFonts w:ascii="Times New Roman" w:hAnsi="Times New Roman"/>
          <w:sz w:val="24"/>
          <w:szCs w:val="24"/>
          <w:lang w:bidi="es-ES"/>
        </w:rPr>
        <w:t>del 2025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Descripción del Trabajo</w:t>
      </w:r>
    </w:p>
    <w:p>
      <w:pPr>
        <w:pStyle w:val="Normal"/>
        <w:spacing w:lineRule="auto" w:line="276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Escoger una empresa </w:t>
      </w:r>
      <w:r>
        <w:rPr>
          <w:rFonts w:ascii="Times New Roman" w:hAnsi="Times New Roman"/>
          <w:sz w:val="24"/>
          <w:szCs w:val="24"/>
        </w:rPr>
        <w:t>y a</w:t>
      </w:r>
      <w:r>
        <w:rPr>
          <w:rFonts w:ascii="Times New Roman" w:hAnsi="Times New Roman"/>
          <w:sz w:val="24"/>
          <w:szCs w:val="24"/>
        </w:rPr>
        <w:t xml:space="preserve">nalizar 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z w:val="24"/>
          <w:szCs w:val="24"/>
        </w:rPr>
        <w:t xml:space="preserve"> organigrama. Según la posición que ocupe la unidad, departamento relacionado con la administración de los sistemas de información, indicar en que etapa se encuentra la empresa.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 Desarrollo</w:t>
      </w:r>
    </w:p>
    <w:p>
      <w:pPr>
        <w:pStyle w:val="Normal"/>
        <w:spacing w:lineRule="auto" w:line="276" w:before="0" w:after="20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En el organigrama, el Gerente de Sistemas se encuentra bajo la estructura del Director Administrativo, junto con otras áreas como Finanzas, Seguridad y Productividad.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Análisis según el Modelo de Nolan:</w:t>
      </w:r>
    </w:p>
    <w:p>
      <w:pPr>
        <w:pStyle w:val="Normal"/>
        <w:numPr>
          <w:ilvl w:val="0"/>
          <w:numId w:val="4"/>
        </w:numPr>
        <w:spacing w:lineRule="auto" w:line="276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Nivel jerárquico medio: No reporta directamente al Gerente General, sino a un director intermedio.</w:t>
      </w:r>
    </w:p>
    <w:p>
      <w:pPr>
        <w:pStyle w:val="Normal"/>
        <w:numPr>
          <w:ilvl w:val="0"/>
          <w:numId w:val="4"/>
        </w:numPr>
        <w:spacing w:lineRule="auto" w:line="276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Estructura formalizada: Existe un Gerente de Sistemas, lo que indica que la empresa ha asignado recursos específicos para TI.</w:t>
      </w:r>
    </w:p>
    <w:p>
      <w:pPr>
        <w:pStyle w:val="Normal"/>
        <w:numPr>
          <w:ilvl w:val="0"/>
          <w:numId w:val="4"/>
        </w:numPr>
        <w:spacing w:lineRule="auto" w:line="276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Falta de integración total con la alta dirección: La tecnología no parece ser un pilar estratégico central de la empresa.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Etapa en el Modelo de Nolan:</w:t>
      </w:r>
    </w:p>
    <w:p>
      <w:pPr>
        <w:pStyle w:val="Normal"/>
        <w:spacing w:lineRule="auto" w:line="276" w:before="0" w:after="20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Dado que el área de sistemas tiene una estructura establecida pero aún no está en la alta dirección, la empresa se encontraría en la etapa </w:t>
      </w:r>
      <w:r>
        <w:rPr>
          <w:rFonts w:ascii="Times New Roman" w:hAnsi="Times New Roman"/>
          <w:b/>
          <w:bCs/>
          <w:sz w:val="24"/>
          <w:szCs w:val="24"/>
        </w:rPr>
        <w:t>de Control o Integración</w:t>
      </w:r>
    </w:p>
    <w:p>
      <w:pPr>
        <w:pStyle w:val="Normal"/>
        <w:spacing w:lineRule="auto" w:line="276" w:before="0" w:after="20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En la </w:t>
      </w:r>
      <w:r>
        <w:rPr>
          <w:rFonts w:ascii="Times New Roman" w:hAnsi="Times New Roman"/>
          <w:b/>
          <w:bCs/>
          <w:sz w:val="24"/>
          <w:szCs w:val="24"/>
        </w:rPr>
        <w:t xml:space="preserve">etapa de control </w:t>
      </w:r>
      <w:r>
        <w:rPr>
          <w:rFonts w:ascii="Times New Roman" w:hAnsi="Times New Roman"/>
          <w:b w:val="false"/>
          <w:bCs w:val="false"/>
          <w:sz w:val="24"/>
          <w:szCs w:val="24"/>
        </w:rPr>
        <w:t>se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formalizan procedimientos y se busca mayor eficiencia en el uso de TI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mientras que en la </w:t>
      </w:r>
      <w:r>
        <w:rPr>
          <w:rFonts w:ascii="Times New Roman" w:hAnsi="Times New Roman"/>
          <w:b/>
          <w:bCs/>
          <w:sz w:val="24"/>
          <w:szCs w:val="24"/>
        </w:rPr>
        <w:t xml:space="preserve">integración </w:t>
      </w:r>
      <w:r>
        <w:rPr>
          <w:rFonts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ascii="Times New Roman" w:hAnsi="Times New Roman"/>
          <w:b w:val="false"/>
          <w:bCs w:val="false"/>
          <w:sz w:val="24"/>
          <w:szCs w:val="24"/>
        </w:rPr>
        <w:t>e comienzan a vincular los sistemas de información con otros procesos del negocio, pero aún sin una estrategia tecnológica completamente alineada con la alta dirección.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 Conclusión</w:t>
      </w:r>
    </w:p>
    <w:p>
      <w:pPr>
        <w:pStyle w:val="Normal"/>
        <w:spacing w:lineRule="auto" w:line="276" w:before="0" w:after="20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Si la empresa busca evolucionar hacia una mayor madurez tecnológica, debería elevar la posición del área de TI a un nivel más estratégico dentro de la jerarquía.</w:t>
      </w:r>
    </w:p>
    <w:p>
      <w:pPr>
        <w:pStyle w:val="Normal"/>
        <w:spacing w:lineRule="auto" w:line="276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rPr>
          <w:b/>
          <w:bCs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Bibliografía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ascii="Times New Roman" w:hAnsi="Times New Roman"/>
          <w:sz w:val="24"/>
          <w:szCs w:val="24"/>
        </w:rPr>
        <w:t>Wikipedia</w:t>
      </w:r>
      <w:r>
        <w:rPr>
          <w:rFonts w:ascii="Times New Roman" w:hAnsi="Times New Roman"/>
          <w:i/>
          <w:iCs/>
          <w:sz w:val="24"/>
          <w:szCs w:val="24"/>
        </w:rPr>
        <w:t>. Almacenes Tía</w:t>
      </w:r>
      <w:r>
        <w:rPr>
          <w:rFonts w:ascii="Times New Roman" w:hAnsi="Times New Roman"/>
          <w:sz w:val="24"/>
          <w:szCs w:val="24"/>
        </w:rPr>
        <w:t xml:space="preserve">. Recuperado de </w:t>
      </w:r>
      <w:hyperlink r:id="rId4">
        <w:r>
          <w:rPr>
            <w:rStyle w:val="Hyperlink"/>
            <w:rFonts w:ascii="Times New Roman" w:hAnsi="Times New Roman"/>
            <w:sz w:val="24"/>
            <w:szCs w:val="24"/>
          </w:rPr>
          <w:t>https://es.wikipedia.org</w:t>
        </w:r>
      </w:hyperlink>
    </w:p>
    <w:p>
      <w:pPr>
        <w:pStyle w:val="ListParagraph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ascii="Times New Roman" w:hAnsi="Times New Roman"/>
          <w:sz w:val="24"/>
          <w:szCs w:val="24"/>
        </w:rPr>
        <w:t xml:space="preserve">Tiendas Industriales Asociadas (2022). </w:t>
      </w:r>
      <w:r>
        <w:rPr>
          <w:rFonts w:ascii="Times New Roman" w:hAnsi="Times New Roman"/>
          <w:i/>
          <w:iCs/>
          <w:sz w:val="24"/>
          <w:szCs w:val="24"/>
        </w:rPr>
        <w:t>Memoria de Sostenibilidad</w:t>
      </w:r>
      <w:r>
        <w:rPr>
          <w:rFonts w:ascii="Times New Roman" w:hAnsi="Times New Roman"/>
          <w:sz w:val="24"/>
          <w:szCs w:val="24"/>
        </w:rPr>
        <w:t xml:space="preserve">. Recuperado el 18 de marzo de 2025, de </w:t>
      </w:r>
      <w:hyperlink r:id="rId5">
        <w:r>
          <w:rPr>
            <w:rStyle w:val="Hyperlink"/>
            <w:rFonts w:ascii="Times New Roman" w:hAnsi="Times New Roman"/>
            <w:sz w:val="24"/>
            <w:szCs w:val="24"/>
          </w:rPr>
          <w:t>https://sostenibilidad.tia.com.ec</w:t>
        </w:r>
      </w:hyperlink>
    </w:p>
    <w:p>
      <w:pPr>
        <w:pStyle w:val="ListParagraph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ascii="Times New Roman" w:hAnsi="Times New Roman"/>
          <w:sz w:val="24"/>
          <w:szCs w:val="24"/>
        </w:rPr>
        <w:t xml:space="preserve">Bolsa de Valores de Guayaquil (2018). </w:t>
      </w:r>
      <w:r>
        <w:rPr>
          <w:rFonts w:ascii="Times New Roman" w:hAnsi="Times New Roman"/>
          <w:i/>
          <w:iCs/>
          <w:sz w:val="24"/>
          <w:szCs w:val="24"/>
        </w:rPr>
        <w:t>Prospecto de Oferta Pública Novena Emisión de Obligaciones</w:t>
      </w:r>
      <w:r>
        <w:rPr>
          <w:rFonts w:ascii="Times New Roman" w:hAnsi="Times New Roman"/>
          <w:sz w:val="24"/>
          <w:szCs w:val="24"/>
        </w:rPr>
        <w:t xml:space="preserve">. Recuperado el 18 de marzo de 2025, de </w:t>
      </w:r>
      <w:hyperlink r:id="rId6">
        <w:r>
          <w:rPr>
            <w:rStyle w:val="Hyperlink"/>
            <w:rFonts w:ascii="Times New Roman" w:hAnsi="Times New Roman"/>
            <w:sz w:val="24"/>
            <w:szCs w:val="24"/>
          </w:rPr>
          <w:t>https://www.bolsadevaloresguayaquil.com</w:t>
        </w:r>
      </w:hyperlink>
    </w:p>
    <w:p>
      <w:pPr>
        <w:pStyle w:val="ListParagraph"/>
        <w:numPr>
          <w:ilvl w:val="0"/>
          <w:numId w:val="0"/>
        </w:numPr>
        <w:spacing w:lineRule="auto" w:line="276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ascii="Times New Roman" w:hAnsi="Times New Roman"/>
          <w:sz w:val="24"/>
          <w:szCs w:val="24"/>
        </w:rPr>
        <w:t xml:space="preserve">Bayancela Páez, Roberto Xavier, Chávez Avellán 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Henrry José. (201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). </w:t>
      </w:r>
      <w:r>
        <w:rPr>
          <w:rStyle w:val="Emphasis"/>
          <w:rFonts w:ascii="Times New Roman" w:hAnsi="Times New Roman"/>
          <w:sz w:val="24"/>
          <w:szCs w:val="24"/>
        </w:rPr>
        <w:t xml:space="preserve">Análisis de factibilidad y desarrollo de una aplicación web para la evaluación e incremento salarial de los colaboradores de la organización TIA S.A. </w:t>
      </w:r>
      <w:r>
        <w:rPr>
          <w:rStyle w:val="Emphasis"/>
          <w:rFonts w:ascii="Times New Roman" w:hAnsi="Times New Roman"/>
          <w:sz w:val="24"/>
          <w:szCs w:val="24"/>
        </w:rPr>
        <w:t xml:space="preserve">(Trabajo de titulación). </w:t>
      </w:r>
      <w:r>
        <w:rPr>
          <w:rStyle w:val="Emphasis"/>
          <w:rFonts w:ascii="Times New Roman" w:hAnsi="Times New Roman"/>
          <w:i w:val="false"/>
          <w:iCs w:val="false"/>
          <w:sz w:val="24"/>
          <w:szCs w:val="24"/>
        </w:rPr>
        <w:t xml:space="preserve">Universidad Católica de Santiago de Guayaquil. </w:t>
      </w:r>
      <w:hyperlink r:id="rId7">
        <w:r>
          <w:rPr>
            <w:rStyle w:val="Hyperlink"/>
            <w:rFonts w:ascii="Times New Roman" w:hAnsi="Times New Roman"/>
            <w:sz w:val="24"/>
            <w:szCs w:val="24"/>
          </w:rPr>
          <w:t>http://repositorio.ucsg.edu.ec</w:t>
        </w:r>
      </w:hyperlink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800" w:right="1800" w:gutter="0" w:header="0" w:top="1728" w:footer="720" w:bottom="144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0" w:fmt="decimal"/>
          <w:formProt w:val="false"/>
          <w:titlePg/>
          <w:textDirection w:val="lrTb"/>
          <w:docGrid w:type="default" w:linePitch="360" w:charSpace="4096"/>
        </w:sectPr>
        <w:pStyle w:val="ListParagraph"/>
        <w:numPr>
          <w:ilvl w:val="0"/>
          <w:numId w:val="0"/>
        </w:numPr>
        <w:spacing w:lineRule="auto" w:line="276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BodyText"/>
        <w:spacing w:lineRule="auto" w:line="27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Anexo</w:t>
      </w:r>
    </w:p>
    <w:p>
      <w:pPr>
        <w:pStyle w:val="BodyText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-625475</wp:posOffset>
            </wp:positionH>
            <wp:positionV relativeFrom="paragraph">
              <wp:posOffset>-89535</wp:posOffset>
            </wp:positionV>
            <wp:extent cx="6534150" cy="4897120"/>
            <wp:effectExtent l="0" t="0" r="0" b="0"/>
            <wp:wrapNone/>
            <wp:docPr id="3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jc w:val="center"/>
        <w:rPr>
          <w:b/>
          <w:bCs/>
        </w:rPr>
      </w:pPr>
      <w:r>
        <w:rPr>
          <w:rFonts w:ascii="Times New Roman" w:hAnsi="Times New Roman"/>
          <w:sz w:val="20"/>
        </w:rPr>
      </w:r>
    </w:p>
    <w:p>
      <w:pPr>
        <w:pStyle w:val="BodyText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Figura 1: </w:t>
      </w:r>
      <w:r>
        <w:rPr>
          <w:rFonts w:ascii="Times New Roman" w:hAnsi="Times New Roman"/>
          <w:sz w:val="20"/>
        </w:rPr>
        <w:t>Organigrama general de Tía S.A</w:t>
      </w:r>
    </w:p>
    <w:p>
      <w:pPr>
        <w:pStyle w:val="BodyText"/>
        <w:spacing w:before="185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ind w:hanging="0" w:left="0" w:right="42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before="12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800" w:right="1800" w:gutter="0" w:header="0" w:top="1728" w:footer="72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entury Gothic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\* ARABIC </w:instrText>
    </w:r>
    <w:r>
      <w:rPr>
        <w:lang w:bidi="es-ES"/>
      </w:rPr>
      <w:fldChar w:fldCharType="separate"/>
    </w:r>
    <w:r>
      <w:rPr>
        <w:lang w:bidi="es-ES"/>
      </w:rPr>
      <w:t>1</w:t>
    </w:r>
    <w:r>
      <w:rPr>
        <w:lang w:bidi="es-ES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\* ARABIC </w:instrText>
    </w:r>
    <w:r>
      <w:rPr>
        <w:lang w:bidi="es-ES"/>
      </w:rPr>
      <w:fldChar w:fldCharType="separate"/>
    </w:r>
    <w:r>
      <w:rPr>
        <w:lang w:bidi="es-ES"/>
      </w:rPr>
      <w:t>1</w:t>
    </w:r>
    <w:r>
      <w:rPr>
        <w:lang w:bidi="es-ES"/>
      </w:rPr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Century Gothic" w:hAnsi="Century Gothic" w:cs="Century Gothic" w:hint="default"/>
        <w:color w:themeColor="text1" w:themeTint="f2" w:val="0D0D0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Constantia" w:cs="" w:asciiTheme="minorHAnsi" w:cstheme="minorBidi" w:eastAsiaTheme="minorHAnsi" w:hAnsiTheme="minorHAnsi"/>
        <w:color w:themeColor="text1" w:themeTint="a6" w:val="595959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3d0d"/>
    <w:pPr>
      <w:widowControl/>
      <w:bidi w:val="0"/>
      <w:spacing w:lineRule="auto" w:line="264" w:before="120" w:after="200"/>
      <w:jc w:val="left"/>
    </w:pPr>
    <w:rPr>
      <w:rFonts w:ascii="Constantia" w:hAnsi="Constantia" w:eastAsia="Constantia" w:cs="" w:asciiTheme="minorHAnsi" w:cstheme="minorBidi" w:eastAsiaTheme="minorHAnsi" w:hAnsiTheme="minorHAnsi"/>
      <w:color w:themeColor="text1" w:themeTint="a6" w:val="595959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33d0d"/>
    <w:pPr>
      <w:keepNext w:val="true"/>
      <w:keepLines/>
      <w:spacing w:before="600" w:after="60"/>
      <w:contextualSpacing/>
      <w:outlineLvl w:val="0"/>
    </w:pPr>
    <w:rPr>
      <w:rFonts w:ascii="Constantia" w:hAnsi="Constantia" w:eastAsia="华文新魏" w:cs="" w:asciiTheme="majorHAnsi" w:cstheme="majorBidi" w:eastAsiaTheme="majorEastAsia" w:hAnsiTheme="majorHAnsi"/>
      <w:color w:themeColor="accent1" w:themeShade="bf" w:val="007789"/>
      <w:sz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333d0d"/>
    <w:pPr>
      <w:keepNext w:val="true"/>
      <w:keepLines/>
      <w:spacing w:before="240" w:after="0"/>
      <w:contextualSpacing/>
      <w:outlineLvl w:val="1"/>
    </w:pPr>
    <w:rPr>
      <w:rFonts w:ascii="Constantia" w:hAnsi="Constantia" w:eastAsia="华文新魏" w:cs="" w:asciiTheme="majorHAnsi" w:cstheme="majorBidi" w:eastAsiaTheme="majorEastAsia" w:hAnsiTheme="majorHAnsi"/>
      <w:caps/>
      <w:color w:themeColor="accent1" w:themeShade="bf" w:val="007789"/>
      <w:sz w:val="24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 w:val="true"/>
      <w:keepLines/>
      <w:spacing w:before="40" w:after="0"/>
      <w:outlineLvl w:val="2"/>
    </w:pPr>
    <w:rPr>
      <w:rFonts w:ascii="Constantia" w:hAnsi="Constantia" w:eastAsia="华文新魏" w:cs="" w:asciiTheme="majorHAnsi" w:cstheme="majorBidi" w:eastAsiaTheme="majorEastAsia" w:hAnsiTheme="majorHAnsi"/>
      <w:color w:themeColor="accent1" w:themeShade="7f" w:val="004F5B"/>
      <w:sz w:val="24"/>
      <w:szCs w:val="24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 w:val="true"/>
      <w:keepLines/>
      <w:spacing w:before="40" w:after="0"/>
      <w:outlineLvl w:val="5"/>
    </w:pPr>
    <w:rPr>
      <w:rFonts w:ascii="Constantia" w:hAnsi="Constantia" w:eastAsia="华文新魏" w:cs="" w:asciiTheme="majorHAnsi" w:cstheme="majorBidi" w:eastAsiaTheme="majorEastAsia" w:hAnsiTheme="majorHAnsi"/>
      <w:color w:themeColor="accent1" w:themeShade="7f" w:val="004F5B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 w:val="true"/>
      <w:keepLines/>
      <w:spacing w:before="40" w:after="0"/>
      <w:outlineLvl w:val="6"/>
    </w:pPr>
    <w:rPr>
      <w:rFonts w:ascii="Constantia" w:hAnsi="Constantia" w:eastAsia="华文新魏" w:cs="" w:asciiTheme="majorHAnsi" w:cstheme="majorBidi" w:eastAsiaTheme="majorEastAsia" w:hAnsiTheme="majorHAnsi"/>
      <w:i/>
      <w:iCs/>
      <w:color w:themeColor="accent1" w:themeShade="7f" w:val="004F5B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 w:val="true"/>
      <w:keepLines/>
      <w:spacing w:before="40" w:after="0"/>
      <w:outlineLvl w:val="7"/>
    </w:pPr>
    <w:rPr>
      <w:rFonts w:ascii="Constantia" w:hAnsi="Constantia" w:eastAsia="华文新魏" w:cs="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 w:val="true"/>
      <w:keepLines/>
      <w:spacing w:before="40" w:after="0"/>
      <w:outlineLvl w:val="8"/>
    </w:pPr>
    <w:rPr>
      <w:rFonts w:ascii="Constantia" w:hAnsi="Constantia" w:eastAsia="华文新魏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333d0d"/>
    <w:rPr>
      <w:rFonts w:ascii="Constantia" w:hAnsi="Constantia" w:eastAsia="华文新魏" w:cs="" w:asciiTheme="majorHAnsi" w:cstheme="majorBidi" w:eastAsiaTheme="majorEastAsia" w:hAnsiTheme="majorHAnsi"/>
      <w:color w:themeColor="accent1" w:themeShade="bf" w:val="007789"/>
      <w:sz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333d0d"/>
    <w:rPr>
      <w:rFonts w:ascii="Constantia" w:hAnsi="Constantia" w:eastAsia="华文新魏" w:cs="" w:asciiTheme="majorHAnsi" w:cstheme="majorBidi" w:eastAsiaTheme="majorEastAsia" w:hAnsiTheme="majorHAnsi"/>
      <w:caps/>
      <w:color w:themeColor="accent1" w:themeShade="bf" w:val="007789"/>
      <w:sz w:val="24"/>
    </w:rPr>
  </w:style>
  <w:style w:type="character" w:styleId="TtuloCar" w:customStyle="1">
    <w:name w:val="Título Car"/>
    <w:basedOn w:val="DefaultParagraphFont"/>
    <w:link w:val="Title"/>
    <w:uiPriority w:val="2"/>
    <w:qFormat/>
    <w:rsid w:val="00333d0d"/>
    <w:rPr>
      <w:rFonts w:ascii="Constantia" w:hAnsi="Constantia" w:eastAsia="华文新魏" w:cs="" w:asciiTheme="majorHAnsi" w:cstheme="majorBidi" w:eastAsiaTheme="majorEastAsia" w:hAnsiTheme="majorHAnsi"/>
      <w:color w:themeColor="accent1" w:themeShade="bf" w:val="007789"/>
      <w:kern w:val="2"/>
      <w:sz w:val="60"/>
    </w:rPr>
  </w:style>
  <w:style w:type="character" w:styleId="SubttuloCar" w:customStyle="1">
    <w:name w:val="Subtítulo Car"/>
    <w:basedOn w:val="DefaultParagraphFont"/>
    <w:link w:val="Subtitle"/>
    <w:uiPriority w:val="3"/>
    <w:qFormat/>
    <w:rsid w:val="00333d0d"/>
    <w:rPr>
      <w:rFonts w:ascii="Constantia" w:hAnsi="Constantia" w:eastAsia="华文新魏" w:cs="" w:asciiTheme="majorHAnsi" w:cstheme="majorBidi" w:eastAsiaTheme="majorEastAsia" w:hAnsiTheme="majorHAnsi"/>
      <w:caps/>
      <w:sz w:val="26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c6554a"/>
    <w:rPr>
      <w:caps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c6554a"/>
    <w:rPr>
      <w:color w:themeColor="text1" w:themeTint="a6" w:val="595959"/>
      <w:sz w:val="20"/>
      <w:szCs w:val="20"/>
      <w:lang w:eastAsia="ja-JP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c6554a"/>
    <w:rPr>
      <w:rFonts w:ascii="Constantia" w:hAnsi="Constantia" w:eastAsia="华文新魏" w:cs="" w:asciiTheme="majorHAnsi" w:cstheme="majorBidi" w:eastAsiaTheme="majorEastAsia" w:hAnsiTheme="majorHAnsi"/>
      <w:color w:themeColor="accent1" w:themeShade="7f" w:val="004F5B"/>
      <w:sz w:val="24"/>
      <w:szCs w:val="24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c6554a"/>
    <w:rPr>
      <w:rFonts w:ascii="Constantia" w:hAnsi="Constantia" w:eastAsia="华文新魏" w:cs="" w:asciiTheme="majorHAnsi" w:cstheme="majorBidi" w:eastAsiaTheme="majorEastAsia" w:hAnsiTheme="majorHAnsi"/>
      <w:color w:themeColor="text1" w:themeTint="d8" w:val="272727"/>
      <w:szCs w:val="21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c6554a"/>
    <w:rPr>
      <w:rFonts w:ascii="Constantia" w:hAnsi="Constantia" w:eastAsia="华文新魏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themeColor="accent1" w:themeShade="bf" w:val="007789"/>
    </w:rPr>
  </w:style>
  <w:style w:type="character" w:styleId="CitadestacadaCar" w:customStyle="1">
    <w:name w:val="Cita destacada Car"/>
    <w:basedOn w:val="DefaultParagraphFont"/>
    <w:link w:val="IntenseQuote"/>
    <w:uiPriority w:val="30"/>
    <w:semiHidden/>
    <w:qFormat/>
    <w:rsid w:val="00c6554a"/>
    <w:rPr>
      <w:i/>
      <w:iCs/>
      <w:color w:themeColor="accent1" w:themeShade="bf" w:val="007789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smallCaps/>
      <w:color w:themeColor="accent1" w:themeShade="bf" w:val="007789"/>
      <w:spacing w:val="5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6554a"/>
    <w:rPr>
      <w:rFonts w:ascii="Segoe UI" w:hAnsi="Segoe UI" w:cs="Segoe UI"/>
      <w:szCs w:val="18"/>
    </w:rPr>
  </w:style>
  <w:style w:type="character" w:styleId="Textoindependiente3Car" w:customStyle="1">
    <w:name w:val="Texto independiente 3 Car"/>
    <w:basedOn w:val="DefaultParagraphFont"/>
    <w:link w:val="BodyText3"/>
    <w:uiPriority w:val="99"/>
    <w:semiHidden/>
    <w:qFormat/>
    <w:rsid w:val="00c6554a"/>
    <w:rPr>
      <w:szCs w:val="16"/>
    </w:rPr>
  </w:style>
  <w:style w:type="character" w:styleId="Sangra3detindependienteCar" w:customStyle="1">
    <w:name w:val="Sangría 3 de t. independiente Car"/>
    <w:basedOn w:val="DefaultParagraphFont"/>
    <w:link w:val="BodyTextIndent3"/>
    <w:uiPriority w:val="99"/>
    <w:semiHidden/>
    <w:qFormat/>
    <w:rsid w:val="00c6554a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6554a"/>
    <w:rPr>
      <w:sz w:val="22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c6554a"/>
    <w:rPr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c6554a"/>
    <w:rPr>
      <w:b/>
      <w:bCs/>
      <w:szCs w:val="20"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c6554a"/>
    <w:rPr>
      <w:rFonts w:ascii="Segoe UI" w:hAnsi="Segoe UI" w:cs="Segoe UI"/>
      <w:szCs w:val="16"/>
    </w:rPr>
  </w:style>
  <w:style w:type="character" w:styleId="TextonotaalfinalCar" w:customStyle="1">
    <w:name w:val="Texto nota al final Car"/>
    <w:basedOn w:val="DefaultParagraphFont"/>
    <w:link w:val="EndnoteText"/>
    <w:uiPriority w:val="99"/>
    <w:semiHidden/>
    <w:qFormat/>
    <w:rsid w:val="00c6554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themeColor="accent1" w:themeShade="bf" w:val="007789"/>
      <w:u w:val="single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themeColor="accent3" w:themeShade="80" w:val="835D00"/>
      <w:u w:val="single"/>
    </w:rPr>
  </w:style>
  <w:style w:type="character" w:styleId="TextomacroCar" w:customStyle="1">
    <w:name w:val="Texto macro Car"/>
    <w:basedOn w:val="DefaultParagraphFont"/>
    <w:link w:val="macro"/>
    <w:uiPriority w:val="99"/>
    <w:semiHidden/>
    <w:qFormat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c6554a"/>
    <w:rPr>
      <w:color w:themeColor="text1" w:themeTint="a6" w:val="595959"/>
    </w:rPr>
  </w:style>
  <w:style w:type="character" w:styleId="TextosinformatoCar" w:customStyle="1">
    <w:name w:val="Texto sin formato Car"/>
    <w:basedOn w:val="DefaultParagraphFont"/>
    <w:link w:val="PlainText"/>
    <w:uiPriority w:val="99"/>
    <w:semiHidden/>
    <w:qFormat/>
    <w:rsid w:val="00c6554a"/>
    <w:rPr>
      <w:rFonts w:ascii="Consolas" w:hAnsi="Consolas"/>
      <w:szCs w:val="21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2554cd"/>
    <w:rPr>
      <w:rFonts w:ascii="Constantia" w:hAnsi="Constantia" w:eastAsia="华文新魏" w:cs="" w:asciiTheme="majorHAnsi" w:cstheme="majorBidi" w:eastAsiaTheme="majorEastAsia" w:hAnsiTheme="majorHAnsi"/>
      <w:i/>
      <w:iCs/>
      <w:color w:themeColor="accent1" w:themeShade="7f" w:val="004F5B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2554cd"/>
    <w:rPr>
      <w:rFonts w:ascii="Constantia" w:hAnsi="Constantia" w:eastAsia="华文新魏" w:cs="" w:asciiTheme="majorHAnsi" w:cstheme="majorBidi" w:eastAsiaTheme="majorEastAsia" w:hAnsiTheme="majorHAnsi"/>
      <w:color w:themeColor="accent1" w:themeShade="7f" w:val="004F5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12d78"/>
    <w:rPr>
      <w:color w:themeColor="text1" w:themeTint="a6"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lineRule="auto" w:line="240" w:before="0" w:after="200"/>
    </w:pPr>
    <w:rPr>
      <w:i/>
      <w:iCs/>
      <w:color w:themeColor="text2" w:val="4E5B6F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formacindecontacto" w:customStyle="1">
    <w:name w:val="Información de contacto"/>
    <w:basedOn w:val="Normal"/>
    <w:uiPriority w:val="4"/>
    <w:qFormat/>
    <w:rsid w:val="00c6554a"/>
    <w:pPr>
      <w:spacing w:before="0" w:after="0"/>
      <w:jc w:val="center"/>
    </w:pPr>
    <w:rPr/>
  </w:style>
  <w:style w:type="paragraph" w:styleId="ListBullet">
    <w:name w:val="List Bullet"/>
    <w:basedOn w:val="Normal"/>
    <w:uiPriority w:val="10"/>
    <w:unhideWhenUsed/>
    <w:qFormat/>
    <w:rsid w:val="00c6554a"/>
    <w:pPr>
      <w:numPr>
        <w:ilvl w:val="0"/>
        <w:numId w:val="2"/>
      </w:numPr>
    </w:pPr>
    <w:rPr/>
  </w:style>
  <w:style w:type="paragraph" w:styleId="Title">
    <w:name w:val="Title"/>
    <w:basedOn w:val="Normal"/>
    <w:link w:val="TtuloCar"/>
    <w:uiPriority w:val="2"/>
    <w:unhideWhenUsed/>
    <w:qFormat/>
    <w:rsid w:val="00333d0d"/>
    <w:pPr>
      <w:spacing w:lineRule="auto" w:line="240" w:before="480" w:after="40"/>
      <w:contextualSpacing/>
      <w:jc w:val="center"/>
    </w:pPr>
    <w:rPr>
      <w:rFonts w:ascii="Constantia" w:hAnsi="Constantia" w:eastAsia="华文新魏" w:cs="" w:asciiTheme="majorHAnsi" w:cstheme="majorBidi" w:eastAsiaTheme="majorEastAsia" w:hAnsiTheme="majorHAnsi"/>
      <w:color w:themeColor="accent1" w:themeShade="bf" w:val="007789"/>
      <w:kern w:val="2"/>
      <w:sz w:val="60"/>
    </w:rPr>
  </w:style>
  <w:style w:type="paragraph" w:styleId="Subtitle">
    <w:name w:val="Subtitle"/>
    <w:basedOn w:val="Normal"/>
    <w:link w:val="SubttuloCar"/>
    <w:uiPriority w:val="3"/>
    <w:unhideWhenUsed/>
    <w:qFormat/>
    <w:rsid w:val="00333d0d"/>
    <w:pPr>
      <w:spacing w:before="0" w:after="480"/>
      <w:contextualSpacing/>
      <w:jc w:val="center"/>
    </w:pPr>
    <w:rPr>
      <w:rFonts w:ascii="Constantia" w:hAnsi="Constantia" w:eastAsia="华文新魏" w:cs="" w:asciiTheme="majorHAnsi" w:cstheme="majorBidi" w:eastAsiaTheme="majorEastAsia" w:hAnsiTheme="majorHAnsi"/>
      <w:caps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rsid w:val="00c6554a"/>
    <w:pPr>
      <w:spacing w:lineRule="auto" w:line="240" w:before="0" w:after="0"/>
      <w:jc w:val="right"/>
    </w:pPr>
    <w:rPr>
      <w:caps/>
    </w:rPr>
  </w:style>
  <w:style w:type="paragraph" w:styleId="Foto" w:customStyle="1">
    <w:name w:val="Foto"/>
    <w:basedOn w:val="Normal"/>
    <w:uiPriority w:val="1"/>
    <w:qFormat/>
    <w:rsid w:val="00c6554a"/>
    <w:pPr>
      <w:spacing w:lineRule="auto" w:line="240" w:before="0" w:after="0"/>
      <w:jc w:val="center"/>
    </w:pPr>
    <w:rPr/>
  </w:style>
  <w:style w:type="paragraph" w:styleId="Header">
    <w:name w:val="Header"/>
    <w:basedOn w:val="Normal"/>
    <w:link w:val="EncabezadoCar"/>
    <w:uiPriority w:val="99"/>
    <w:unhideWhenUsed/>
    <w:rsid w:val="00c6554a"/>
    <w:pPr>
      <w:spacing w:lineRule="auto" w:line="240" w:before="0" w:after="0"/>
    </w:pPr>
    <w:rPr/>
  </w:style>
  <w:style w:type="paragraph" w:styleId="ListNumber">
    <w:name w:val="List Number"/>
    <w:basedOn w:val="Normal"/>
    <w:uiPriority w:val="11"/>
    <w:unhideWhenUsed/>
    <w:qFormat/>
    <w:rsid w:val="00c6554a"/>
    <w:pPr>
      <w:numPr>
        <w:ilvl w:val="0"/>
        <w:numId w:val="1"/>
      </w:numPr>
      <w:spacing w:before="120" w:after="20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07789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6554a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="华文新魏" w:eastAsiaTheme="minorEastAsia"/>
      <w:i/>
      <w:iCs/>
      <w:color w:themeColor="accent1" w:themeShade="bf" w:val="007789"/>
    </w:rPr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c6554a"/>
    <w:pPr>
      <w:spacing w:before="120" w:after="120"/>
    </w:pPr>
    <w:rPr>
      <w:szCs w:val="16"/>
    </w:rPr>
  </w:style>
  <w:style w:type="paragraph" w:styleId="BodyTextIndent3">
    <w:name w:val="Body Text Indent 3"/>
    <w:basedOn w:val="Normal"/>
    <w:link w:val="Sangra3detindependienteCar"/>
    <w:uiPriority w:val="99"/>
    <w:semiHidden/>
    <w:unhideWhenUsed/>
    <w:qFormat/>
    <w:rsid w:val="00c6554a"/>
    <w:pPr>
      <w:spacing w:before="120" w:after="120"/>
      <w:ind w:left="360"/>
    </w:pPr>
    <w:rPr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rsid w:val="00c6554a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c6554a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c6554a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c6554a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lineRule="auto" w:line="240" w:before="0" w:after="0"/>
    </w:pPr>
    <w:rPr>
      <w:rFonts w:ascii="Constantia" w:hAnsi="Constantia" w:eastAsia="华文新魏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c6554a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c6554a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TextomacroCar"/>
    <w:uiPriority w:val="99"/>
    <w:semiHidden/>
    <w:unhideWhenUsed/>
    <w:qFormat/>
    <w:rsid w:val="00c6554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64" w:before="120" w:after="0"/>
      <w:jc w:val="left"/>
    </w:pPr>
    <w:rPr>
      <w:rFonts w:ascii="Consolas" w:hAnsi="Consolas" w:eastAsia="Constantia" w:cs="" w:cstheme="minorBidi" w:eastAsiaTheme="minorHAnsi"/>
      <w:color w:themeColor="text1" w:themeTint="a6" w:val="595959"/>
      <w:kern w:val="0"/>
      <w:sz w:val="22"/>
      <w:szCs w:val="20"/>
      <w:lang w:val="es-ES" w:eastAsia="en-US" w:bidi="ar-SA"/>
    </w:rPr>
  </w:style>
  <w:style w:type="paragraph" w:styleId="PlainText">
    <w:name w:val="Plain Text"/>
    <w:basedOn w:val="Normal"/>
    <w:link w:val="TextosinformatoCar"/>
    <w:uiPriority w:val="99"/>
    <w:semiHidden/>
    <w:unhideWhenUsed/>
    <w:qFormat/>
    <w:rsid w:val="00c6554a"/>
    <w:pPr>
      <w:spacing w:lineRule="auto" w:line="240" w:before="0" w:after="0"/>
    </w:pPr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081658"/>
    <w:pPr>
      <w:spacing w:lineRule="auto" w:line="240" w:beforeAutospacing="1" w:afterAutospacing="1"/>
    </w:pPr>
    <w:rPr>
      <w:rFonts w:ascii="Times New Roman" w:hAnsi="Times New Roman" w:eastAsia="Times New Roman" w:cs="Times New Roman"/>
      <w:color w:themeColor="text1" w:themeTint="a6" w:val="auto"/>
      <w:sz w:val="24"/>
      <w:szCs w:val="24"/>
      <w:lang w:val="es-EC" w:eastAsia="es-EC"/>
    </w:rPr>
  </w:style>
  <w:style w:type="paragraph" w:styleId="ListParagraph">
    <w:name w:val="List Paragraph"/>
    <w:basedOn w:val="Normal"/>
    <w:uiPriority w:val="34"/>
    <w:unhideWhenUsed/>
    <w:qFormat/>
    <w:rsid w:val="00081658"/>
    <w:pPr>
      <w:spacing w:before="120" w:after="200"/>
      <w:ind w:left="720"/>
      <w:contextualSpacing/>
    </w:pPr>
    <w:rPr/>
  </w:style>
  <w:style w:type="paragraph" w:styleId="HeaderLeft">
    <w:name w:val="Header Left"/>
    <w:basedOn w:val="Header"/>
    <w:qFormat/>
    <w:pPr>
      <w:suppressLineNumbers/>
      <w:tabs>
        <w:tab w:val="clear" w:pos="720"/>
        <w:tab w:val="center" w:pos="5473" w:leader="none"/>
        <w:tab w:val="right" w:pos="1094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es.wikipedia.org/wiki/Almacenes_T&#237;a" TargetMode="External"/><Relationship Id="rId5" Type="http://schemas.openxmlformats.org/officeDocument/2006/relationships/hyperlink" Target="https://sostenibilidad.tia.com.ec/wordpress/wp-content/uploads/2023/06/Memoria-de-Sostenibilidad-TIA-2022.pdf" TargetMode="External"/><Relationship Id="rId6" Type="http://schemas.openxmlformats.org/officeDocument/2006/relationships/hyperlink" Target="https://www.bolsadevaloresguayaquil.com/" TargetMode="External"/><Relationship Id="rId7" Type="http://schemas.openxmlformats.org/officeDocument/2006/relationships/hyperlink" Target="http://repositorio.ucsg.edu.ec/bitstream/3317/3604/1/T-UCSG-PRE-ING-CIS-91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3.png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eme1">
  <a:themeElements>
    <a:clrScheme name="Report">
      <a:dk1>
        <a:srgbClr val="000000"/>
      </a:dk1>
      <a:lt1>
        <a:srgbClr val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 pitchFamily="0" charset="1"/>
        <a:ea typeface=""/>
        <a:cs typeface=""/>
      </a:majorFont>
      <a:minorFont>
        <a:latin typeface="Constant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AAA8-0042-4005-B3AD-84745E0C3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45</TotalTime>
  <Application>LibreOffice/24.2.7.2$Linux_X86_64 LibreOffice_project/420$Build-2</Application>
  <AppVersion>15.0000</AppVersion>
  <Pages>4</Pages>
  <Words>372</Words>
  <Characters>2119</Characters>
  <CharactersWithSpaces>2457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2025-02-24T16:46:00Z</dcterms:created>
  <dc:creator>WinUser</dc:creator>
  <dc:description/>
  <dc:language>en-US</dc:language>
  <cp:lastModifiedBy/>
  <dcterms:modified xsi:type="dcterms:W3CDTF">2025-03-18T12:02:26Z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