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A27208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2CD00E05" w:rsidR="00A27208" w:rsidRPr="00A832C1" w:rsidRDefault="00A27208" w:rsidP="00A27208">
      <w:pPr>
        <w:rPr>
          <w:rFonts w:hint="eastAsia"/>
        </w:rPr>
      </w:pPr>
      <w:r>
        <w:t>template中根目录下只能包含一个,应该全部写入根目录(&lt;div&gt;)里</w:t>
      </w:r>
      <w:bookmarkStart w:id="0" w:name="_GoBack"/>
      <w:bookmarkEnd w:id="0"/>
    </w:p>
    <w:sectPr w:rsidR="00A27208" w:rsidRPr="00A8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E6B2A"/>
    <w:rsid w:val="00212E21"/>
    <w:rsid w:val="002E1243"/>
    <w:rsid w:val="003B04E5"/>
    <w:rsid w:val="003C1720"/>
    <w:rsid w:val="003D4658"/>
    <w:rsid w:val="003F1FDE"/>
    <w:rsid w:val="003F4229"/>
    <w:rsid w:val="00447CD2"/>
    <w:rsid w:val="005A21A9"/>
    <w:rsid w:val="00671636"/>
    <w:rsid w:val="007867E9"/>
    <w:rsid w:val="007C21AB"/>
    <w:rsid w:val="007D701C"/>
    <w:rsid w:val="00875F40"/>
    <w:rsid w:val="00932474"/>
    <w:rsid w:val="00A27208"/>
    <w:rsid w:val="00A832C1"/>
    <w:rsid w:val="00B073CD"/>
    <w:rsid w:val="00B70D7E"/>
    <w:rsid w:val="00B73B02"/>
    <w:rsid w:val="00BD09BA"/>
    <w:rsid w:val="00C178C2"/>
    <w:rsid w:val="00CE280F"/>
    <w:rsid w:val="00DC768F"/>
    <w:rsid w:val="00E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istry.npm.taoba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25</cp:revision>
  <dcterms:created xsi:type="dcterms:W3CDTF">2018-01-14T12:27:00Z</dcterms:created>
  <dcterms:modified xsi:type="dcterms:W3CDTF">2018-02-01T07:04:00Z</dcterms:modified>
</cp:coreProperties>
</file>