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377" w:rsidRDefault="007157A2">
      <w:pPr>
        <w:pStyle w:val="Titolo1"/>
      </w:pPr>
      <w:bookmarkStart w:id="0" w:name="_GoBack"/>
      <w:bookmarkEnd w:id="0"/>
      <w:r>
        <w:t>Appendice A – Calcolo del Max Capital Employed</w:t>
      </w:r>
    </w:p>
    <w:p w:rsidR="005A4377" w:rsidRDefault="007157A2">
      <w:r>
        <w:t xml:space="preserve">Questa appendice integra il documento principale "Equity, Capital Employed e Return – Formalizzazione Matematica" e fornisce una spiegazione operativa e implementativa del concetto di Max Capital Employed </w:t>
      </w:r>
      <w:r>
        <w:t>così come utilizzato nella suite Py_SUITE_TRADING.</w:t>
      </w:r>
    </w:p>
    <w:p w:rsidR="005A4377" w:rsidRDefault="007157A2">
      <w:pPr>
        <w:pStyle w:val="Titolo2"/>
      </w:pPr>
      <w:r>
        <w:t>A.1 Definizione operativa</w:t>
      </w:r>
    </w:p>
    <w:p w:rsidR="005A4377" w:rsidRDefault="007157A2">
      <w:r>
        <w:t>Il Max Capital Employed rappresenta il massimo capitale effettivamente immobilizzato dalla strategia in qualunque istante temporale durante il periodo di osservazione. Non coincid</w:t>
      </w:r>
      <w:r>
        <w:t>e con l’Equity Start né con l’Equity End, ma misura il picco massimo di esposizione necessaria per sostenere le operazioni della strategia.</w:t>
      </w:r>
    </w:p>
    <w:p w:rsidR="005A4377" w:rsidRDefault="007157A2">
      <w:pPr>
        <w:pStyle w:val="Titolo2"/>
      </w:pPr>
      <w:r>
        <w:t>A.2 Razionale economico</w:t>
      </w:r>
    </w:p>
    <w:p w:rsidR="005A4377" w:rsidRDefault="007157A2">
      <w:r>
        <w:t>In presenza di rientri a prezzi superiori, scale-in o strategie che richiedono capitale cres</w:t>
      </w:r>
      <w:r>
        <w:t>cente, il capitale iniziale non è più una base corretta per valutare il rendimento. Il Max Capital Employed consente di normalizzare le performance rispetto al capitale realmente richiesto.</w:t>
      </w:r>
    </w:p>
    <w:p w:rsidR="005A4377" w:rsidRDefault="007157A2">
      <w:pPr>
        <w:pStyle w:val="Titolo2"/>
      </w:pPr>
      <w:r>
        <w:t>A.3 Algoritmo di calcolo</w:t>
      </w:r>
    </w:p>
    <w:p w:rsidR="005A4377" w:rsidRDefault="007157A2">
      <w:r>
        <w:t>Il calcolo avviene simulando l’evoluzione</w:t>
      </w:r>
      <w:r>
        <w:t xml:space="preserve"> del capitale durante la sequenza dei trade:</w:t>
      </w:r>
      <w:r>
        <w:br/>
      </w:r>
      <w:r>
        <w:br/>
        <w:t>1. Si inizializza il capitale disponibile al valore di Equity Start.</w:t>
      </w:r>
      <w:r>
        <w:br/>
        <w:t>2. Per ogni trade di ingresso, si calcola il capitale richiesto come EntryPrice × Quantity.</w:t>
      </w:r>
      <w:r>
        <w:br/>
        <w:t>3. Se il capitale disponibile è insufficiente, vi</w:t>
      </w:r>
      <w:r>
        <w:t>ene simulata una Cash Injection.</w:t>
      </w:r>
      <w:r>
        <w:br/>
        <w:t>4. Il capitale richiesto viene considerato come capitale immobilizzato.</w:t>
      </w:r>
      <w:r>
        <w:br/>
        <w:t>5. Il Max Capital Employed è il massimo valore raggiunto dal capitale immobilizzato nel tempo.</w:t>
      </w:r>
    </w:p>
    <w:p w:rsidR="005A4377" w:rsidRDefault="007157A2">
      <w:pPr>
        <w:pStyle w:val="Titolo2"/>
      </w:pPr>
      <w:r>
        <w:t>A.4 Formula sintetica</w:t>
      </w:r>
    </w:p>
    <w:p w:rsidR="005A4377" w:rsidRDefault="007157A2">
      <w:r>
        <w:t>Formalmente:</w:t>
      </w:r>
      <w:r>
        <w:br/>
      </w:r>
      <w:r>
        <w:br/>
        <w:t>Max Capital Employed</w:t>
      </w:r>
      <w:r>
        <w:t xml:space="preserve"> = max(EntryPrice_i × Quantity_i)</w:t>
      </w:r>
      <w:r>
        <w:br/>
      </w:r>
      <w:r>
        <w:br/>
        <w:t>dove i indica ciascun trade di ingresso della strategia.</w:t>
      </w:r>
    </w:p>
    <w:p w:rsidR="005A4377" w:rsidRDefault="007157A2">
      <w:pPr>
        <w:pStyle w:val="Titolo2"/>
      </w:pPr>
      <w:r>
        <w:t>A.5 Esempio numerico</w:t>
      </w:r>
    </w:p>
    <w:p w:rsidR="005A4377" w:rsidRDefault="007157A2">
      <w:r>
        <w:t>Equity Start = 35</w:t>
      </w:r>
      <w:r>
        <w:br/>
        <w:t>Trade 1: Buy @ 35 → Capitale impiegato = 35</w:t>
      </w:r>
      <w:r>
        <w:br/>
        <w:t>Trade 2: Buy @ 50 → Capitale impiegato = 50</w:t>
      </w:r>
      <w:r>
        <w:br/>
      </w:r>
      <w:r>
        <w:br/>
        <w:t>Max Capital Employed = 50</w:t>
      </w:r>
      <w:r>
        <w:br/>
      </w:r>
      <w:r>
        <w:br/>
      </w:r>
      <w:r>
        <w:lastRenderedPageBreak/>
        <w:t>In questo</w:t>
      </w:r>
      <w:r>
        <w:t xml:space="preserve"> esempio, anche se l’Equity Start è 35, la strategia ha richiesto un picco di capitale pari a 50.</w:t>
      </w:r>
    </w:p>
    <w:p w:rsidR="005A4377" w:rsidRDefault="007157A2">
      <w:pPr>
        <w:pStyle w:val="Titolo2"/>
      </w:pPr>
      <w:r>
        <w:t>A.6 Utilizzo nei rendimenti</w:t>
      </w:r>
    </w:p>
    <w:p w:rsidR="005A4377" w:rsidRDefault="007157A2">
      <w:r>
        <w:t>Il Max Capital Employed viene utilizzato come denominatore per il calcolo del ROCE e del Total Return Alpha:</w:t>
      </w:r>
      <w:r>
        <w:br/>
      </w:r>
      <w:r>
        <w:br/>
        <w:t>ROCE = Total P/L / M</w:t>
      </w:r>
      <w:r>
        <w:t>ax Capital Employed</w:t>
      </w:r>
      <w:r>
        <w:br/>
      </w:r>
      <w:r>
        <w:br/>
        <w:t>Questo garantisce che il rendimento rifletta l’effettiva intensità di capitale richiesta dalla strategia.</w:t>
      </w:r>
    </w:p>
    <w:sectPr w:rsidR="005A43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4377"/>
    <w:rsid w:val="007157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A032784-AF19-4C42-B1D9-3FF4944A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9AE736-7FBE-EA4D-8734-9916118BD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2026-02-03T14:36:00Z</cp:lastPrinted>
  <dcterms:created xsi:type="dcterms:W3CDTF">2026-02-03T14:37:00Z</dcterms:created>
  <dcterms:modified xsi:type="dcterms:W3CDTF">2026-02-03T14:37:00Z</dcterms:modified>
  <cp:category/>
</cp:coreProperties>
</file>