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B7620" w:rsidRDefault="00127F3B">
      <w:pPr>
        <w:rPr>
          <w:rFonts w:hint="eastAsia"/>
        </w:rPr>
      </w:pPr>
      <w:bookmarkStart w:id="0" w:name="_GoBack"/>
      <w:bookmarkEnd w:id="0"/>
      <w:r>
        <w:rPr>
          <w:rFonts w:ascii="Aptos Display" w:hAnsi="Aptos Display"/>
          <w:b/>
          <w:color w:val="1F4E79"/>
          <w:sz w:val="44"/>
        </w:rPr>
        <w:t>Guida pratica alla progettazione</w:t>
      </w:r>
      <w:r>
        <w:rPr>
          <w:rFonts w:ascii="Aptos Display" w:hAnsi="Aptos Display"/>
          <w:b/>
          <w:color w:val="1F4E79"/>
          <w:sz w:val="44"/>
        </w:rPr>
        <w:br/>
        <w:t>di una strategia regime-based</w:t>
      </w:r>
    </w:p>
    <w:p w:rsidR="00BB7620" w:rsidRDefault="00127F3B">
      <w:pPr>
        <w:pStyle w:val="BodySmall"/>
        <w:rPr>
          <w:rFonts w:hint="eastAsia"/>
        </w:rPr>
      </w:pPr>
      <w:r>
        <w:t xml:space="preserve">Documento operativo interno per guidare la costruzione, il tuning e la verifica delle strategie in </w:t>
      </w:r>
      <w:r>
        <w:rPr>
          <w:b/>
        </w:rPr>
        <w:t>config_strategy</w:t>
      </w:r>
      <w:r>
        <w:t>, con focus su edge per regime, scelta KPI e robustezza dei test.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BB7620">
        <w:trPr>
          <w:jc w:val="center"/>
        </w:trPr>
        <w:tc>
          <w:tcPr>
            <w:tcW w:w="9746" w:type="dxa"/>
            <w:shd w:val="clear" w:color="auto" w:fill="DCE6F1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BB7620" w:rsidRDefault="00127F3B">
            <w:pPr>
              <w:pStyle w:val="Callout"/>
              <w:rPr>
                <w:rFonts w:hint="eastAsia"/>
              </w:rPr>
            </w:pPr>
            <w:r>
              <w:rPr>
                <w:b/>
              </w:rPr>
              <w:t xml:space="preserve">Obiettivo del documento. </w:t>
            </w:r>
            <w:r>
              <w:t>Fornire una guida sintetica ma operativa per progettare strategie per regime, scegliere i KPI davvero rilevanti, impostare test coerenti e separare ciò che è supportato dalla letteratura da ciò che va validato empiricamente sul dataset interno.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1. Principio guida: progettare per edge, non per indicatori</w:t>
      </w:r>
    </w:p>
    <w:p w:rsidR="00BB7620" w:rsidRDefault="00127F3B">
      <w:pPr>
        <w:rPr>
          <w:rFonts w:hint="eastAsia"/>
        </w:rPr>
      </w:pPr>
      <w:r>
        <w:t>Una strategia regime-based va costruita partendo dall’inefficienza che si vuole sfruttare in ciascun regime, non dal semplice elenco dei KPI disponibili. Il regime deve definire quale tipo di edge cercare e come gestire il trade.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TREND_UP → continuation dopo pullback, con uscite meno nervose.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RANGE → mean reversion verso il centro del canale.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LATERAL → micro mean reversion in compressione, con target ed exit rapide.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VOLATILE → nessun trade oppure sola logica difensiva / di risk reduction.</w:t>
      </w:r>
    </w:p>
    <w:p w:rsidR="00BB7620" w:rsidRDefault="00127F3B">
      <w:pPr>
        <w:pStyle w:val="SectionHeading"/>
        <w:rPr>
          <w:rFonts w:hint="eastAsia"/>
        </w:rPr>
      </w:pPr>
      <w:r>
        <w:t>2. Architettura consigliata di ogni blocco strategico</w:t>
      </w:r>
    </w:p>
    <w:p w:rsidR="00BB7620" w:rsidRDefault="00127F3B">
      <w:pPr>
        <w:rPr>
          <w:rFonts w:hint="eastAsia"/>
        </w:rPr>
      </w:pPr>
      <w:r>
        <w:t>Ogni blocco di regime dovrebbe essere progettato con quattro strati distinti. Questa separazione aiuta a capire quale KPI sta svolgendo quale funzione e limita la ridondanza.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4"/>
        <w:gridCol w:w="2434"/>
        <w:gridCol w:w="2435"/>
      </w:tblGrid>
      <w:tr w:rsidR="00BB7620">
        <w:trPr>
          <w:tblHeader/>
          <w:jc w:val="center"/>
        </w:trPr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Strato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Domanda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Funzione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Esempi di KPI / logica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Contesto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Siamo nel regime giusto?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Abilitare il tipo corretto di edge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REGIME_L1_CODE, filtro macro di struttura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Struttura / setup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Si è creata una situazione interessante?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Definire la configurazione favorevole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EMA alignment, ADX, BB_WIDTH, ATR_PCT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Trigger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Entro adesso?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Trasformare il setup in entrata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touch banda, ritorno sopra soglia, conferma barra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Exit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Quando l’edge è finito o invalidato?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Monetizzare o proteggere il trade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BB_MID, perdita slope, deterioramento struttura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3. Criterio di scelta dei KPI</w:t>
      </w:r>
    </w:p>
    <w:p w:rsidR="00BB7620" w:rsidRDefault="00127F3B">
      <w:pPr>
        <w:rPr>
          <w:rFonts w:hint="eastAsia"/>
        </w:rPr>
      </w:pPr>
      <w:r>
        <w:lastRenderedPageBreak/>
        <w:t>I KPI vanno selezionati per ruolo funzionale. L’obiettivo è avere un set minimo, interpretabile e poco ridondante. Un KPI è rilevante se copre un mestiere specifico, aggiunge informazione non duplicata e modifica realmente qualità dei trade, frequenza operativa o drawdown.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Usare preferibilmente 1 KPI di regime/contesto, 1 KPI di struttura, 1 KPI di setup/trigger e 1–2 KPI di exit.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Evitare di sommare più KPI che raccontano la stessa cosa (es. EMA alignment, EMA 21&gt;50, Supertrend, DI+&gt;DI- tutti insieme).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Preferire KPI con interpretabilità economica chiara e parametri stabili su soglie vicine, non solo su valori ‘magici’.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Scartare KPI che non cambiano davvero trade count, profit/trade o drawdown.</w:t>
      </w:r>
    </w:p>
    <w:p w:rsidR="00BB7620" w:rsidRDefault="00127F3B">
      <w:pPr>
        <w:pStyle w:val="Subheading"/>
        <w:rPr>
          <w:rFonts w:hint="eastAsia"/>
        </w:rPr>
      </w:pPr>
      <w:r>
        <w:t>Set minimo consigliato per i test iniziali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2433"/>
        <w:gridCol w:w="2434"/>
        <w:gridCol w:w="2435"/>
        <w:gridCol w:w="2434"/>
      </w:tblGrid>
      <w:tr w:rsidR="00BB7620">
        <w:trPr>
          <w:tblHeader/>
          <w:jc w:val="center"/>
        </w:trPr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Regime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Edge ricercato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Core KPI consigliati</w:t>
            </w:r>
          </w:p>
        </w:tc>
        <w:tc>
          <w:tcPr>
            <w:tcW w:w="2436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Note operative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TREND_UP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Continuation dopo pullback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EMA_21/EMA_50 o EMA_ALIGNMENT; EMA_SLOPE_21; ADX_14; BB_MID_20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Entrate selettive; exit più lente e strutturali.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RANGE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Mean reversion verso il centro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BB_DN_20_2p0; BB_MID_20; RSI_14; ADX_14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Pochi KPI, edge chiaro; monetizzare verso il centro.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LATERAL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Micro reversion in compressione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ATR_PCT_14; BB_WIDTH_20_2p0; EMA_SLOPE_21; BB_MID_20; opz. SQUEEZE_ON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Ridurre rumore e overtrading; target brevi.</w:t>
            </w:r>
          </w:p>
        </w:tc>
      </w:tr>
      <w:tr w:rsidR="00BB7620">
        <w:trPr>
          <w:jc w:val="center"/>
        </w:trPr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VOLATILE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Difesa / no trade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REGIME_L1_CODE; ATR_PCT; eventuali regole globali ANY</w:t>
            </w:r>
          </w:p>
        </w:tc>
        <w:tc>
          <w:tcPr>
            <w:tcW w:w="2436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con molta cautela; prima privilegiare risk control.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4. Workflow di progettazione consigliato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Definire l’archetipo del regime: continuation, mean reversion, compressione o difesa.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Disegnare una versione base con pochi parametri e con ruoli ben separati: contesto, setup, trigger, exit.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Verificare prima il blocco standalone per regime: trade count, profit/trade, drawdown, distribuzione dei trade.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Comporre solo dopo i blocchi che dimostrano edge unitario credibile.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Eseguire il tuning solo su pochi parametri ad alta leva; evitare di aprire subito spazi di ricerca troppo ampi.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Validare sempre con confronto composed vs standalone, sensitivity analysis e robustezza out-of-sample.</w:t>
      </w:r>
    </w:p>
    <w:p w:rsidR="00BB7620" w:rsidRDefault="00127F3B">
      <w:pPr>
        <w:pStyle w:val="SectionHeading"/>
        <w:rPr>
          <w:rFonts w:hint="eastAsia"/>
        </w:rPr>
      </w:pPr>
      <w:r>
        <w:lastRenderedPageBreak/>
        <w:t>5. Come usare la letteratura in modo corretto</w:t>
      </w:r>
    </w:p>
    <w:p w:rsidR="00BB7620" w:rsidRDefault="00127F3B">
      <w:pPr>
        <w:rPr>
          <w:rFonts w:hint="eastAsia"/>
        </w:rPr>
      </w:pPr>
      <w:r>
        <w:t>La letteratura peer reviewed è utile per scegliere gli archetipi strategici e il principio generale di regime switching. Non va invece usata come giustificazione automatica per soglie numeriche o combinazioni di indicatori specifiche del progetto. In altre parole: la letteratura aiuta a scegliere il ‘tipo di edge’; i dati interni decidono quali KPI e quali soglie reggono davvero.</w:t>
      </w:r>
    </w:p>
    <w:p w:rsidR="00BB7620" w:rsidRDefault="00127F3B">
      <w:pPr>
        <w:pStyle w:val="SectionHeading"/>
        <w:rPr>
          <w:rFonts w:hint="eastAsia"/>
        </w:rPr>
      </w:pPr>
      <w:r>
        <w:t>6. Matrice: criterio strategico e livello di evidenza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47"/>
        <w:gridCol w:w="1947"/>
        <w:gridCol w:w="1946"/>
        <w:gridCol w:w="1948"/>
        <w:gridCol w:w="1948"/>
      </w:tblGrid>
      <w:tr w:rsidR="00BB7620">
        <w:trPr>
          <w:tblHeader/>
          <w:jc w:val="center"/>
        </w:trPr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Criterio progettuale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Supporto peer reviewed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Livello evidenza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Cosa supporta davvero</w:t>
            </w:r>
          </w:p>
        </w:tc>
        <w:tc>
          <w:tcPr>
            <w:tcW w:w="1949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Cosa non supporta direttamente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regimi/stati di mercato invece di un unico modello fisso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Hamilton (1989)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che la dinamica cambi tra stati distinti e che abbia senso modellare transizioni di regime.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dice quali KPI usare per definire TREND_UP, RANGE e LATERAL nell’engine.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direzionali usare logiche trend-following / continuation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Brock, Lakonishok, LeBaron (1992); Lo, Mamaysky, Wang (2000)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che regole tecniche di trend e momentum possano avere contenuto informativo.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dimostra che le soglie EMA/ADX/slope specifiche siano ottimali.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non-trend usare logiche mean reversion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Poterba &amp; Summers (1988)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Medio–Forte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economica di rientro verso la media in contesti non fortemente direzionali.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prova che RSI + Bollinger sia la miglior implementazione su ETF 1h.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Nei regimi di alta volatilità ridurre rischio / esposizione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Moreira &amp; Muir (2017)</w:t>
            </w:r>
          </w:p>
        </w:tc>
        <w:tc>
          <w:tcPr>
            <w:tcW w:w="1949" w:type="dxa"/>
            <w:shd w:val="clear" w:color="auto" w:fill="EEF3F8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Forte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il principio che ridurre rischio quando la volatilità è alta migliori il profilo rischio-rendimento.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implica automaticamente VOLATILE = no trade; questa è una scelta più conservativa.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Separare i KPI per ruolo: contesto, setup, trigger, exit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indiretto dalla letteratura su technical rules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È coerente con la costruzione di regole tecniche interpretabili e testabili.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esiste un paper canonico che imponga esattamente questa tassonomia.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Preferire KPI non ridondanti / ortogonali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metodologico generale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Aiuta a evitare collinearità, complessità inutile e overfitting.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 xml:space="preserve">Non esiste un singolo paper ‘bandiera’ che </w:t>
            </w:r>
            <w:r>
              <w:lastRenderedPageBreak/>
              <w:t>formalizzi la regola 1 KPI per ruolo.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>Usare ADX / slope / EMA alignment per misurare struttura e forza del trend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indiretto dalla letteratura su trend rules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il concetto di misurare trend e forza prima della continuation.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valida il fatto che ADX_14 &gt; x sia la soglia corretta per il progetto.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RSI / Bollinger per mean reversion in range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operativo più che teorico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Debole–Medio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È una traduzione tecnica ragionevole del concetto di eccesso + rientro verso il centro.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c’è un forte supporto peer reviewed che ne garantisca universalità.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ATR_PCT / BB_WIDTH / squeeze per lateral-compression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Supporto indiretto dal tema volatility state matters</w:t>
            </w:r>
          </w:p>
        </w:tc>
        <w:tc>
          <w:tcPr>
            <w:tcW w:w="1949" w:type="dxa"/>
            <w:shd w:val="clear" w:color="auto" w:fill="F8EFD9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Medio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Supporta l’idea che lo stato di volatilità cambi il tipo di edge disponibile.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prova che questi siano i migliori proxy nel dataset interno.</w:t>
            </w:r>
          </w:p>
        </w:tc>
      </w:tr>
      <w:tr w:rsidR="00BB7620">
        <w:trPr>
          <w:jc w:val="center"/>
        </w:trPr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Usare soglie precise tipo RSI&lt;45 o ADX&gt;18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Nessun supporto peer reviewed forte specifico</w:t>
            </w:r>
          </w:p>
        </w:tc>
        <w:tc>
          <w:tcPr>
            <w:tcW w:w="1949" w:type="dxa"/>
            <w:shd w:val="clear" w:color="auto" w:fill="FCE4D6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Debole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Sono ipotesi ingegneristiche plausibili da testare.</w:t>
            </w:r>
          </w:p>
        </w:tc>
        <w:tc>
          <w:tcPr>
            <w:tcW w:w="1949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:rsidR="00BB7620" w:rsidRDefault="00127F3B">
            <w:pPr>
              <w:rPr>
                <w:rFonts w:hint="eastAsia"/>
              </w:rPr>
            </w:pPr>
            <w:r>
              <w:t>Non vanno trattate come verità di letteratura; richiedono robustezza out-of-sample.</w:t>
            </w:r>
          </w:p>
        </w:tc>
      </w:tr>
    </w:tbl>
    <w:p w:rsidR="00BB7620" w:rsidRDefault="00BB7620">
      <w:pPr>
        <w:rPr>
          <w:rFonts w:hint="eastAsia"/>
        </w:rPr>
      </w:pPr>
    </w:p>
    <w:p w:rsidR="00BB7620" w:rsidRDefault="00127F3B">
      <w:pPr>
        <w:pStyle w:val="SectionHeading"/>
        <w:rPr>
          <w:rFonts w:hint="eastAsia"/>
        </w:rPr>
      </w:pPr>
      <w:r>
        <w:t>7. Regole pratiche per i prossimi test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Partire da una strategia minima e interpretabile, non da una configurazione molto ampia.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Per ciascun regime scegliere un solo archetipo dominante: continuation, mean reversion o compressione.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Tenere pochi KPI ma con ruolo netto; meglio un set essenziale che un blocco sovradeterminato.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Usare il tuning per rifinire soglie e sensibilità, non per ‘inventare’ l’edge.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Valutare sempre insieme profitto, profit/trade, trade count, max drawdown e stabilità dei parametri.</w:t>
      </w:r>
    </w:p>
    <w:p w:rsidR="00BB7620" w:rsidRDefault="00127F3B">
      <w:pPr>
        <w:ind w:left="227" w:hanging="170"/>
        <w:rPr>
          <w:rFonts w:hint="eastAsia"/>
        </w:rPr>
      </w:pPr>
      <w:r>
        <w:rPr>
          <w:b/>
        </w:rPr>
        <w:t xml:space="preserve">• </w:t>
      </w:r>
      <w:r>
        <w:t>Distinguere chiaramente ciò che è motivato dalla letteratura da ciò che è pura ipotesi ingegneristica da verificare.</w:t>
      </w:r>
    </w:p>
    <w:p w:rsidR="00BB7620" w:rsidRDefault="00127F3B">
      <w:pPr>
        <w:pStyle w:val="SectionHeading"/>
        <w:rPr>
          <w:rFonts w:hint="eastAsia"/>
        </w:rPr>
      </w:pPr>
      <w:r>
        <w:t>8. Checklist operativa</w:t>
      </w: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4869"/>
        <w:gridCol w:w="4867"/>
      </w:tblGrid>
      <w:tr w:rsidR="00BB7620">
        <w:trPr>
          <w:tblHeader/>
          <w:jc w:val="center"/>
        </w:trPr>
        <w:tc>
          <w:tcPr>
            <w:tcW w:w="48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Checkpoint</w:t>
            </w:r>
          </w:p>
        </w:tc>
        <w:tc>
          <w:tcPr>
            <w:tcW w:w="4873" w:type="dxa"/>
            <w:shd w:val="clear" w:color="auto" w:fill="DCE6F1"/>
            <w:tcMar>
              <w:top w:w="80" w:type="dxa"/>
              <w:left w:w="90" w:type="dxa"/>
              <w:bottom w:w="8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rPr>
                <w:b/>
              </w:rPr>
              <w:t>Esito / note test</w:t>
            </w: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L’edge del regime è definito in modo esplicito?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lastRenderedPageBreak/>
              <w:t>I KPI scelti hanno ruoli distinti e non ridondanti?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Il blocco standalone ha trade count sufficiente e profit/trade credibile?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exit sono coerenti con il regime (lente in trend, rapide in lateral/range)?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Il tuning agisce su pochi parametri ad alta leva?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soglie risultano stabili su valori vicini?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Il composed finale migliora senza far esplodere il drawdown?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  <w:tr w:rsidR="00BB7620">
        <w:trPr>
          <w:jc w:val="center"/>
        </w:trPr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127F3B">
            <w:pPr>
              <w:rPr>
                <w:rFonts w:hint="eastAsia"/>
              </w:rPr>
            </w:pPr>
            <w:r>
              <w:t>Le scelte sono motivate da letteratura o da test interni, con distinzione chiara?</w:t>
            </w:r>
          </w:p>
        </w:tc>
        <w:tc>
          <w:tcPr>
            <w:tcW w:w="4873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BB7620" w:rsidRDefault="00BB7620">
            <w:pPr>
              <w:rPr>
                <w:rFonts w:hint="eastAsia"/>
              </w:rPr>
            </w:pPr>
          </w:p>
        </w:tc>
      </w:tr>
    </w:tbl>
    <w:p w:rsidR="00BB7620" w:rsidRDefault="00127F3B">
      <w:pPr>
        <w:pStyle w:val="SectionHeading"/>
        <w:rPr>
          <w:rFonts w:hint="eastAsia"/>
        </w:rPr>
      </w:pPr>
      <w:r>
        <w:t>Riferimenti essenziali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Hamilton, J. D. (1989). A New Approach to the Economic Analysis of Nonstationary Time Series and the Business Cycle. Econometrica, 57(2), 357–384.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Brock, W., Lakonishok, J., &amp; LeBaron, B. (1992). Simple Technical Trading Rules and the Stochastic Properties of Stock Returns. The Journal of Finance, 47(5), 1731–1764.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Lo, A. W., Mamaysky, H., &amp; Wang, J. (2000). Foundations of Technical Analysis: Computational Algorithms, Statistical Inference, and Empirical Implementation. The Journal of Finance, 55(4), 1705–1765.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Poterba, J. M., &amp; Summers, L. H. (1988). Mean Reversion in Stock Prices: Evidence and Implications. Journal of Financial Economics, 22(1), 27–59.</w:t>
      </w:r>
    </w:p>
    <w:p w:rsidR="00BB7620" w:rsidRDefault="00127F3B">
      <w:pPr>
        <w:pStyle w:val="BodySmall"/>
        <w:ind w:left="227" w:hanging="198"/>
        <w:rPr>
          <w:rFonts w:hint="eastAsia"/>
        </w:rPr>
      </w:pPr>
      <w:r>
        <w:rPr>
          <w:b/>
        </w:rPr>
        <w:t xml:space="preserve">• </w:t>
      </w:r>
      <w:r>
        <w:t>Moreira, A., &amp; Muir, T. (2017). Volatility-Managed Portfolios. The Journal of Finance, 72(4), 1611–1644.</w:t>
      </w:r>
    </w:p>
    <w:sectPr w:rsidR="00BB7620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B2348" w:rsidRDefault="007B234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7B2348" w:rsidRDefault="007B234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620" w:rsidRDefault="00127F3B">
    <w:pPr>
      <w:pStyle w:val="BodySmall"/>
      <w:jc w:val="center"/>
      <w:rPr>
        <w:rFonts w:hint="eastAsia"/>
      </w:rPr>
    </w:pPr>
    <w:r>
      <w:t xml:space="preserve">Pagina </w:t>
    </w:r>
    <w:r>
      <w:fldChar w:fldCharType="begin"/>
    </w:r>
    <w:r>
      <w:instrText>PAGE</w:instrText>
    </w:r>
    <w:r>
      <w:fldChar w:fldCharType="separate"/>
    </w:r>
    <w:r w:rsidR="00B20580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B2348" w:rsidRDefault="007B234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7B2348" w:rsidRDefault="007B234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B7620" w:rsidRDefault="00127F3B">
    <w:pPr>
      <w:pStyle w:val="BodySmall"/>
      <w:jc w:val="right"/>
      <w:rPr>
        <w:rFonts w:hint="eastAsia"/>
      </w:rPr>
    </w:pPr>
    <w:r>
      <w:t>Guida di progettazione – Strategy Auto Tuning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87"/>
  <w:proofState w:spelling="clean" w:grammar="clean"/>
  <w:defaultTabStop w:val="720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7F3B"/>
    <w:rsid w:val="0015074B"/>
    <w:rsid w:val="0029639D"/>
    <w:rsid w:val="00326F90"/>
    <w:rsid w:val="006F5247"/>
    <w:rsid w:val="007B2348"/>
    <w:rsid w:val="00AA1D8D"/>
    <w:rsid w:val="00B20580"/>
    <w:rsid w:val="00B47730"/>
    <w:rsid w:val="00BB762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2F878A60-9D5E-1D4E-A99A-506561F9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e">
    <w:name w:val="Normal"/>
    <w:qFormat/>
    <w:rsid w:val="00FC693F"/>
    <w:pPr>
      <w:spacing w:after="120"/>
    </w:pPr>
    <w:rPr>
      <w:rFonts w:ascii="Aptos" w:hAnsi="Aptos"/>
      <w:color w:val="282828"/>
      <w:sz w:val="21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Small">
    <w:name w:val="Body Small"/>
    <w:basedOn w:val="Normale"/>
    <w:pPr>
      <w:spacing w:after="80"/>
    </w:pPr>
    <w:rPr>
      <w:color w:val="5A5A5A"/>
      <w:sz w:val="19"/>
    </w:rPr>
  </w:style>
  <w:style w:type="paragraph" w:customStyle="1" w:styleId="SectionHeading">
    <w:name w:val="Section Heading"/>
    <w:basedOn w:val="Normale"/>
    <w:pPr>
      <w:spacing w:before="200" w:after="80"/>
    </w:pPr>
    <w:rPr>
      <w:b/>
      <w:color w:val="1F4E79"/>
      <w:sz w:val="28"/>
    </w:rPr>
  </w:style>
  <w:style w:type="paragraph" w:customStyle="1" w:styleId="Subheading">
    <w:name w:val="Subheading"/>
    <w:basedOn w:val="Normale"/>
    <w:pPr>
      <w:spacing w:before="160" w:after="60"/>
    </w:pPr>
    <w:rPr>
      <w:b/>
      <w:sz w:val="23"/>
    </w:rPr>
  </w:style>
  <w:style w:type="paragraph" w:customStyle="1" w:styleId="Callout">
    <w:name w:val="Callout"/>
    <w:basedOn w:val="Normale"/>
    <w:pPr>
      <w:spacing w:before="40" w:after="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44CD1BB-589D-1345-8E12-467B8D4E06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1368</Words>
  <Characters>7804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2026-03-11T15:18:00Z</dcterms:created>
  <dcterms:modified xsi:type="dcterms:W3CDTF">2026-03-11T15:18:00Z</dcterms:modified>
  <cp:category/>
</cp:coreProperties>
</file>