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7620" w:rsidRDefault="00127F3B">
      <w:pPr>
        <w:rPr>
          <w:rFonts w:hint="eastAsia"/>
        </w:rPr>
      </w:pPr>
      <w:bookmarkStart w:id="0" w:name="_GoBack"/>
      <w:bookmarkEnd w:id="0"/>
      <w:r>
        <w:rPr>
          <w:rFonts w:ascii="Aptos Display" w:hAnsi="Aptos Display"/>
          <w:b/>
          <w:color w:val="1F4E79"/>
          <w:sz w:val="44"/>
        </w:rPr>
        <w:t>Guida pratica alla progettazione</w:t>
      </w:r>
      <w:r>
        <w:rPr>
          <w:rFonts w:ascii="Aptos Display" w:hAnsi="Aptos Display"/>
          <w:b/>
          <w:color w:val="1F4E79"/>
          <w:sz w:val="44"/>
        </w:rPr>
        <w:br/>
        <w:t>di una strategia regime-based</w:t>
      </w:r>
    </w:p>
    <w:p w:rsidR="00BB7620" w:rsidRDefault="00127F3B">
      <w:pPr>
        <w:pStyle w:val="BodySmall"/>
        <w:rPr>
          <w:rFonts w:hint="eastAsia"/>
        </w:rPr>
      </w:pPr>
      <w:r>
        <w:t xml:space="preserve">Documento operativo interno per guidare la costruzione, il tuning e la verifica delle strategie in </w:t>
      </w:r>
      <w:r>
        <w:rPr>
          <w:b/>
        </w:rPr>
        <w:t>config_strategy</w:t>
      </w:r>
      <w:r>
        <w:t>, con focus su edge per regime, scelta KPI e robustezza dei test.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B7620">
        <w:trPr>
          <w:jc w:val="center"/>
        </w:trPr>
        <w:tc>
          <w:tcPr>
            <w:tcW w:w="9746" w:type="dxa"/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B7620" w:rsidRDefault="00127F3B">
            <w:pPr>
              <w:pStyle w:val="Callout"/>
              <w:rPr>
                <w:rFonts w:hint="eastAsia"/>
              </w:rPr>
            </w:pPr>
            <w:r>
              <w:rPr>
                <w:b/>
              </w:rPr>
              <w:t xml:space="preserve">Obiettivo del documento. </w:t>
            </w:r>
            <w:r>
              <w:t>Fornire una guida sintetica ma operativa per progettare strategie per regime, scegliere i KPI davvero rilevanti, impostare test coerenti e separare ciò che è supportato dalla letteratura da ciò che va validato empiricamente sul dat</w:t>
            </w:r>
            <w:r>
              <w:t>aset interno.</w:t>
            </w:r>
          </w:p>
        </w:tc>
      </w:tr>
    </w:tbl>
    <w:p w:rsidR="00BB7620" w:rsidRDefault="00BB7620">
      <w:pPr>
        <w:rPr>
          <w:rFonts w:hint="eastAsia"/>
        </w:rPr>
      </w:pPr>
    </w:p>
    <w:p w:rsidR="00BB7620" w:rsidRDefault="00127F3B">
      <w:pPr>
        <w:pStyle w:val="SectionHeading"/>
        <w:rPr>
          <w:rFonts w:hint="eastAsia"/>
        </w:rPr>
      </w:pPr>
      <w:r>
        <w:t>1. Principio guida: progettare per edge, non per indicatori</w:t>
      </w:r>
    </w:p>
    <w:p w:rsidR="00BB7620" w:rsidRDefault="00127F3B">
      <w:pPr>
        <w:rPr>
          <w:rFonts w:hint="eastAsia"/>
        </w:rPr>
      </w:pPr>
      <w:r>
        <w:t>Una strategia regime-based va costruita partendo dall’inefficienza che si vuole sfruttare in ciascun regime, non dal semplice elenco dei KPI disponibili. Il regime deve definire qu</w:t>
      </w:r>
      <w:r>
        <w:t>ale tipo di edge cercare e come gestire il trade.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TREND_UP → continuation dopo pullback, con uscite meno nervose.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RANGE → mean reversion verso il centro del canale.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LATERAL → micro mean reversion in compressione, con target ed exit rapide.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VOLATILE</w:t>
      </w:r>
      <w:r>
        <w:t xml:space="preserve"> → nessun trade oppure sola logica difensiva / di risk reduction.</w:t>
      </w:r>
    </w:p>
    <w:p w:rsidR="00BB7620" w:rsidRDefault="00127F3B">
      <w:pPr>
        <w:pStyle w:val="SectionHeading"/>
        <w:rPr>
          <w:rFonts w:hint="eastAsia"/>
        </w:rPr>
      </w:pPr>
      <w:r>
        <w:t>2. Architettura consigliata di ogni blocco strategico</w:t>
      </w:r>
    </w:p>
    <w:p w:rsidR="00BB7620" w:rsidRDefault="00127F3B">
      <w:pPr>
        <w:rPr>
          <w:rFonts w:hint="eastAsia"/>
        </w:rPr>
      </w:pPr>
      <w:r>
        <w:t xml:space="preserve">Ogni blocco di regime dovrebbe essere progettato con quattro strati distinti. Questa separazione aiuta a capire quale KPI sta svolgendo </w:t>
      </w:r>
      <w:r>
        <w:t>quale funzione e limita la ridondanza.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BB7620">
        <w:trPr>
          <w:tblHeader/>
          <w:jc w:val="center"/>
        </w:trPr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Strato</w:t>
            </w:r>
          </w:p>
        </w:tc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Domanda</w:t>
            </w:r>
          </w:p>
        </w:tc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Funzione</w:t>
            </w:r>
          </w:p>
        </w:tc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Esempi di KPI / logica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Contesto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Siamo nel regime giusto?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Abilitare il tipo corretto di edge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REGIME_L1_CODE, filtro macro di struttura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Struttura / setup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 xml:space="preserve">Si è creata una situazione </w:t>
            </w:r>
            <w:r>
              <w:t>interessante?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Definire la configurazione favorevole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EMA alignment, ADX, BB_WIDTH, ATR_PCT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Trigger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Entro adesso?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Trasformare il setup in entrata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touch banda, ritorno sopra soglia, conferma barra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Exit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Quando l’edge è finito o invalidato?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 xml:space="preserve">Monetizzare o </w:t>
            </w:r>
            <w:r>
              <w:t>proteggere il trade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BB_MID, perdita slope, deterioramento struttura</w:t>
            </w:r>
          </w:p>
        </w:tc>
      </w:tr>
    </w:tbl>
    <w:p w:rsidR="00BB7620" w:rsidRDefault="00BB7620">
      <w:pPr>
        <w:rPr>
          <w:rFonts w:hint="eastAsia"/>
        </w:rPr>
      </w:pPr>
    </w:p>
    <w:p w:rsidR="00BB7620" w:rsidRDefault="00127F3B">
      <w:pPr>
        <w:pStyle w:val="SectionHeading"/>
        <w:rPr>
          <w:rFonts w:hint="eastAsia"/>
        </w:rPr>
      </w:pPr>
      <w:r>
        <w:t>3. Criterio di scelta dei KPI</w:t>
      </w:r>
    </w:p>
    <w:p w:rsidR="00BB7620" w:rsidRDefault="00127F3B">
      <w:pPr>
        <w:rPr>
          <w:rFonts w:hint="eastAsia"/>
        </w:rPr>
      </w:pPr>
      <w:r>
        <w:lastRenderedPageBreak/>
        <w:t>I KPI vanno selezionati per ruolo funzionale. L’obiettivo è avere un set minimo, interpretabile e poco ridondante. Un KPI è rilevante se copre un mestiere s</w:t>
      </w:r>
      <w:r>
        <w:t>pecifico, aggiunge informazione non duplicata e modifica realmente qualità dei trade, frequenza operativa o drawdown.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Usare preferibilmente 1 KPI di regime/contesto, 1 KPI di struttura, 1 KPI di setup/trigger e 1–2 KPI di exit.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Evitare di sommare più K</w:t>
      </w:r>
      <w:r>
        <w:t>PI che raccontano la stessa cosa (es. EMA alignment, EMA 21&gt;50, Supertrend, DI+&gt;DI- tutti insieme).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Preferire KPI con interpretabilità economica chiara e parametri stabili su soglie vicine, non solo su valori ‘magici’.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Scartare KPI che non cambiano dav</w:t>
      </w:r>
      <w:r>
        <w:t>vero trade count, profit/trade o drawdown.</w:t>
      </w:r>
    </w:p>
    <w:p w:rsidR="00BB7620" w:rsidRDefault="00127F3B">
      <w:pPr>
        <w:pStyle w:val="Subheading"/>
        <w:rPr>
          <w:rFonts w:hint="eastAsia"/>
        </w:rPr>
      </w:pPr>
      <w:r>
        <w:t>Set minimo consigliato per i test iniziali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BB7620">
        <w:trPr>
          <w:tblHeader/>
          <w:jc w:val="center"/>
        </w:trPr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Regime</w:t>
            </w:r>
          </w:p>
        </w:tc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Edge ricercato</w:t>
            </w:r>
          </w:p>
        </w:tc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Core KPI consigliati</w:t>
            </w:r>
          </w:p>
        </w:tc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Note operative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TREND_UP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Continuation dopo pullback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 xml:space="preserve">REGIME_L1_CODE; EMA_21/EMA_50 o EMA_ALIGNMENT; EMA_SLOPE_21; ADX_14; </w:t>
            </w:r>
            <w:r>
              <w:t>BB_MID_20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Entrate selettive; exit più lente e strutturali.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RANGE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Mean reversion verso il centro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REGIME_L1_CODE; BB_DN_20_2p0; BB_MID_20; RSI_14; ADX_14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Pochi KPI, edge chiaro; monetizzare verso il centro.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LATERAL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Micro reversion in compressione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REGIME_L1</w:t>
            </w:r>
            <w:r>
              <w:t>_CODE; ATR_PCT_14; BB_WIDTH_20_2p0; EMA_SLOPE_21; BB_MID_20; opz. SQUEEZE_ON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Ridurre rumore e overtrading; target brevi.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VOLATILE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Difesa / no trade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REGIME_L1_CODE; ATR_PCT; eventuali regole globali ANY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 xml:space="preserve">Usare con molta cautela; prima privilegiare risk </w:t>
            </w:r>
            <w:r>
              <w:t>control.</w:t>
            </w:r>
          </w:p>
        </w:tc>
      </w:tr>
    </w:tbl>
    <w:p w:rsidR="00BB7620" w:rsidRDefault="00BB7620">
      <w:pPr>
        <w:rPr>
          <w:rFonts w:hint="eastAsia"/>
        </w:rPr>
      </w:pPr>
    </w:p>
    <w:p w:rsidR="00BB7620" w:rsidRDefault="00127F3B">
      <w:pPr>
        <w:pStyle w:val="SectionHeading"/>
        <w:rPr>
          <w:rFonts w:hint="eastAsia"/>
        </w:rPr>
      </w:pPr>
      <w:r>
        <w:t>4. Workflow di progettazione consigliato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Definire l’archetipo del regime: continuation, mean reversion, compressione o difesa.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Disegnare una versione base con pochi parametri e con ruoli ben separati: contesto, setup, trigger, exit.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Verifi</w:t>
      </w:r>
      <w:r>
        <w:t>care prima il blocco standalone per regime: trade count, profit/trade, drawdown, distribuzione dei trade.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Comporre solo dopo i blocchi che dimostrano edge unitario credibile.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lastRenderedPageBreak/>
        <w:t xml:space="preserve">• </w:t>
      </w:r>
      <w:r>
        <w:t>Eseguire il tuning solo su pochi parametri ad alta leva; evitare di aprire su</w:t>
      </w:r>
      <w:r>
        <w:t>bito spazi di ricerca troppo ampi.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Validare sempre con confronto composed vs standalone, sensitivity analysis e robustezza out-of-sample.</w:t>
      </w:r>
    </w:p>
    <w:p w:rsidR="00BB7620" w:rsidRDefault="00127F3B">
      <w:pPr>
        <w:pStyle w:val="SectionHeading"/>
        <w:rPr>
          <w:rFonts w:hint="eastAsia"/>
        </w:rPr>
      </w:pPr>
      <w:r>
        <w:t>5. Come usare la letteratura in modo corretto</w:t>
      </w:r>
    </w:p>
    <w:p w:rsidR="00BB7620" w:rsidRDefault="00127F3B">
      <w:pPr>
        <w:rPr>
          <w:rFonts w:hint="eastAsia"/>
        </w:rPr>
      </w:pPr>
      <w:r>
        <w:t>La letteratura peer reviewed è utile per scegliere gli archetipi strat</w:t>
      </w:r>
      <w:r>
        <w:t>egici e il principio generale di regime switching. Non va invece usata come giustificazione automatica per soglie numeriche o combinazioni di indicatori specifiche del progetto. In altre parole: la letteratura aiuta a scegliere il ‘tipo di edge’; i dati in</w:t>
      </w:r>
      <w:r>
        <w:t>terni decidono quali KPI e quali soglie reggono davvero.</w:t>
      </w:r>
    </w:p>
    <w:p w:rsidR="00BB7620" w:rsidRDefault="00127F3B">
      <w:pPr>
        <w:pStyle w:val="SectionHeading"/>
        <w:rPr>
          <w:rFonts w:hint="eastAsia"/>
        </w:rPr>
      </w:pPr>
      <w:r>
        <w:t>6. Matrice: criterio strategico e livello di evidenza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BB7620">
        <w:trPr>
          <w:tblHeader/>
          <w:jc w:val="center"/>
        </w:trPr>
        <w:tc>
          <w:tcPr>
            <w:tcW w:w="194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Criterio progettuale</w:t>
            </w:r>
          </w:p>
        </w:tc>
        <w:tc>
          <w:tcPr>
            <w:tcW w:w="194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Supporto peer reviewed</w:t>
            </w:r>
          </w:p>
        </w:tc>
        <w:tc>
          <w:tcPr>
            <w:tcW w:w="194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Livello evidenza</w:t>
            </w:r>
          </w:p>
        </w:tc>
        <w:tc>
          <w:tcPr>
            <w:tcW w:w="194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Cosa supporta davvero</w:t>
            </w:r>
          </w:p>
        </w:tc>
        <w:tc>
          <w:tcPr>
            <w:tcW w:w="194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Cosa non supporta direttamente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 xml:space="preserve">Usare regimi/stati di mercato </w:t>
            </w:r>
            <w:r>
              <w:t>invece di un unico modello fisso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Hamilton (1989)</w:t>
            </w:r>
          </w:p>
        </w:tc>
        <w:tc>
          <w:tcPr>
            <w:tcW w:w="1949" w:type="dxa"/>
            <w:shd w:val="clear" w:color="auto" w:fill="EE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Forte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Supporta l’idea che la dinamica cambi tra stati distinti e che abbia senso modellare transizioni di regime.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Non dice quali KPI usare per definire TREND_UP, RANGE e LATERAL nell’engine.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Nei regimi dire</w:t>
            </w:r>
            <w:r>
              <w:t>zionali usare logiche trend-following / continuation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Brock, Lakonishok, LeBaron (1992); Lo, Mamaysky, Wang (2000)</w:t>
            </w:r>
          </w:p>
        </w:tc>
        <w:tc>
          <w:tcPr>
            <w:tcW w:w="1949" w:type="dxa"/>
            <w:shd w:val="clear" w:color="auto" w:fill="EE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Forte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Supporta l’idea che regole tecniche di trend e momentum possano avere contenuto informativo.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Non dimostra che le soglie EMA/ADX/slope sp</w:t>
            </w:r>
            <w:r>
              <w:t>ecifiche siano ottimali.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Nei regimi non-trend usare logiche mean reversion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Poterba &amp; Summers (1988)</w:t>
            </w:r>
          </w:p>
        </w:tc>
        <w:tc>
          <w:tcPr>
            <w:tcW w:w="1949" w:type="dxa"/>
            <w:shd w:val="clear" w:color="auto" w:fill="EE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Medio–Forte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Supporta l’idea economica di rientro verso la media in contesti non fortemente direzionali.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 xml:space="preserve">Non prova che RSI + Bollinger sia la miglior </w:t>
            </w:r>
            <w:r>
              <w:t>implementazione su ETF 1h.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Nei regimi di alta volatilità ridurre rischio / esposizione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Moreira &amp; Muir (2017)</w:t>
            </w:r>
          </w:p>
        </w:tc>
        <w:tc>
          <w:tcPr>
            <w:tcW w:w="1949" w:type="dxa"/>
            <w:shd w:val="clear" w:color="auto" w:fill="EE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Forte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Supporta il principio che ridurre rischio quando la volatilità è alta migliori il profilo rischio-rendimento.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Non implica automaticamente VO</w:t>
            </w:r>
            <w:r>
              <w:t>LATILE = no trade; questa è una scelta più conservativa.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 xml:space="preserve">Separare i KPI per </w:t>
            </w:r>
            <w:r>
              <w:lastRenderedPageBreak/>
              <w:t>ruolo: contesto, setup, trigger, exit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lastRenderedPageBreak/>
              <w:t xml:space="preserve">Supporto indiretto </w:t>
            </w:r>
            <w:r>
              <w:lastRenderedPageBreak/>
              <w:t>dalla letteratura su technical rules</w:t>
            </w:r>
          </w:p>
        </w:tc>
        <w:tc>
          <w:tcPr>
            <w:tcW w:w="1949" w:type="dxa"/>
            <w:shd w:val="clear" w:color="auto" w:fill="F8EF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lastRenderedPageBreak/>
              <w:t>Medio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 xml:space="preserve">È coerente con la </w:t>
            </w:r>
            <w:r>
              <w:lastRenderedPageBreak/>
              <w:t>costruzione di regole tecniche interpretabili e testabili.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lastRenderedPageBreak/>
              <w:t>No</w:t>
            </w:r>
            <w:r>
              <w:t xml:space="preserve">n esiste un </w:t>
            </w:r>
            <w:r>
              <w:lastRenderedPageBreak/>
              <w:t>paper canonico che imponga esattamente questa tassonomia.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lastRenderedPageBreak/>
              <w:t>Preferire KPI non ridondanti / ortogonali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Supporto metodologico generale</w:t>
            </w:r>
          </w:p>
        </w:tc>
        <w:tc>
          <w:tcPr>
            <w:tcW w:w="1949" w:type="dxa"/>
            <w:shd w:val="clear" w:color="auto" w:fill="F8EF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Medio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Aiuta a evitare collinearità, complessità inutile e overfitting.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 xml:space="preserve">Non esiste un singolo paper ‘bandiera’ </w:t>
            </w:r>
            <w:r>
              <w:t>che formalizzi la regola 1 KPI per ruolo.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Usare ADX / slope / EMA alignment per misurare struttura e forza del trend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Supporto indiretto dalla letteratura su trend rules</w:t>
            </w:r>
          </w:p>
        </w:tc>
        <w:tc>
          <w:tcPr>
            <w:tcW w:w="1949" w:type="dxa"/>
            <w:shd w:val="clear" w:color="auto" w:fill="F8EF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Medio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Supporta il concetto di misurare trend e forza prima della continuation.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Non val</w:t>
            </w:r>
            <w:r>
              <w:t>ida il fatto che ADX_14 &gt; x sia la soglia corretta per il progetto.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Usare RSI / Bollinger per mean reversion in range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Supporto operativo più che teorico</w:t>
            </w:r>
          </w:p>
        </w:tc>
        <w:tc>
          <w:tcPr>
            <w:tcW w:w="1949" w:type="dxa"/>
            <w:shd w:val="clear" w:color="auto" w:fill="F8EF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Debole–Medio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È una traduzione tecnica ragionevole del concetto di eccesso + rientro verso il centro.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</w:t>
            </w:r>
            <w:r>
              <w:t>on c’è un forte supporto peer reviewed che ne garantisca universalità.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Usare ATR_PCT / BB_WIDTH / squeeze per lateral-compression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Supporto indiretto dal tema volatility state matters</w:t>
            </w:r>
          </w:p>
        </w:tc>
        <w:tc>
          <w:tcPr>
            <w:tcW w:w="1949" w:type="dxa"/>
            <w:shd w:val="clear" w:color="auto" w:fill="F8EF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Medio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 xml:space="preserve">Supporta l’idea che lo stato di volatilità cambi il tipo di edge </w:t>
            </w:r>
            <w:r>
              <w:t>disponibile.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Non prova che questi siano i migliori proxy nel dataset interno.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Usare soglie precise tipo RSI&lt;45 o ADX&gt;18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Nessun supporto peer reviewed forte specifico</w:t>
            </w:r>
          </w:p>
        </w:tc>
        <w:tc>
          <w:tcPr>
            <w:tcW w:w="1949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Debole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Sono ipotesi ingegneristiche plausibili da testare.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Non vanno trattate come verità</w:t>
            </w:r>
            <w:r>
              <w:t xml:space="preserve"> di letteratura; richiedono robustezza out-of-sample.</w:t>
            </w:r>
          </w:p>
        </w:tc>
      </w:tr>
    </w:tbl>
    <w:p w:rsidR="00BB7620" w:rsidRDefault="00BB7620">
      <w:pPr>
        <w:rPr>
          <w:rFonts w:hint="eastAsia"/>
        </w:rPr>
      </w:pPr>
    </w:p>
    <w:p w:rsidR="00BB7620" w:rsidRDefault="00127F3B">
      <w:pPr>
        <w:pStyle w:val="SectionHeading"/>
        <w:rPr>
          <w:rFonts w:hint="eastAsia"/>
        </w:rPr>
      </w:pPr>
      <w:r>
        <w:t>7. Regole pratiche per i prossimi test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Partire da una strategia minima e interpretabile, non da una configurazione molto ampia.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 xml:space="preserve">Per ciascun regime scegliere un solo archetipo dominante: </w:t>
      </w:r>
      <w:r>
        <w:t>continuation, mean reversion o compressione.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Tenere pochi KPI ma con ruolo netto; meglio un set essenziale che un blocco sovradeterminato.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lastRenderedPageBreak/>
        <w:t xml:space="preserve">• </w:t>
      </w:r>
      <w:r>
        <w:t>Usare il tuning per rifinire soglie e sensibilità, non per ‘inventare’ l’edge.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Valutare sempre insieme profitto</w:t>
      </w:r>
      <w:r>
        <w:t>, profit/trade, trade count, max drawdown e stabilità dei parametri.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Distinguere chiaramente ciò che è motivato dalla letteratura da ciò che è pura ipotesi ingegneristica da verificare.</w:t>
      </w:r>
    </w:p>
    <w:p w:rsidR="00BB7620" w:rsidRDefault="00127F3B">
      <w:pPr>
        <w:pStyle w:val="SectionHeading"/>
        <w:rPr>
          <w:rFonts w:hint="eastAsia"/>
        </w:rPr>
      </w:pPr>
      <w:r>
        <w:t>8. Checklist operativa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BB7620">
        <w:trPr>
          <w:tblHeader/>
          <w:jc w:val="center"/>
        </w:trPr>
        <w:tc>
          <w:tcPr>
            <w:tcW w:w="487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Checkpoint</w:t>
            </w:r>
          </w:p>
        </w:tc>
        <w:tc>
          <w:tcPr>
            <w:tcW w:w="487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Esito / note test</w:t>
            </w: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t xml:space="preserve">L’edge del </w:t>
            </w:r>
            <w:r>
              <w:t>regime è definito in modo esplicito?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t>I KPI scelti hanno ruoli distinti e non ridondanti?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t>Il blocco standalone ha trade count sufficiente e profit/trade credibile?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t>Le exit sono coerenti con il regime (lente in trend, rapide in lateral/range)?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t xml:space="preserve">Il </w:t>
            </w:r>
            <w:r>
              <w:t>tuning agisce su pochi parametri ad alta leva?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t>Le soglie risultano stabili su valori vicini?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t>Il composed finale migliora senza far esplodere il drawdown?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t>Le scelte sono motivate da letteratura o da test interni, con distinzione chiara?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</w:tbl>
    <w:p w:rsidR="00BB7620" w:rsidRDefault="00127F3B">
      <w:pPr>
        <w:pStyle w:val="SectionHeading"/>
        <w:rPr>
          <w:rFonts w:hint="eastAsia"/>
        </w:rPr>
      </w:pPr>
      <w:r>
        <w:t xml:space="preserve">Riferimenti </w:t>
      </w:r>
      <w:r>
        <w:t>essenziali</w:t>
      </w:r>
    </w:p>
    <w:p w:rsidR="00BB7620" w:rsidRDefault="00127F3B">
      <w:pPr>
        <w:pStyle w:val="BodySmall"/>
        <w:ind w:left="227" w:hanging="198"/>
        <w:rPr>
          <w:rFonts w:hint="eastAsia"/>
        </w:rPr>
      </w:pPr>
      <w:r>
        <w:rPr>
          <w:b/>
        </w:rPr>
        <w:t xml:space="preserve">• </w:t>
      </w:r>
      <w:r>
        <w:t>Hamilton, J. D. (1989). A New Approach to the Economic Analysis of Nonstationary Time Series and the Business Cycle. Econometrica, 57(2), 357–384.</w:t>
      </w:r>
    </w:p>
    <w:p w:rsidR="00BB7620" w:rsidRDefault="00127F3B">
      <w:pPr>
        <w:pStyle w:val="BodySmall"/>
        <w:ind w:left="227" w:hanging="198"/>
        <w:rPr>
          <w:rFonts w:hint="eastAsia"/>
        </w:rPr>
      </w:pPr>
      <w:r>
        <w:rPr>
          <w:b/>
        </w:rPr>
        <w:t xml:space="preserve">• </w:t>
      </w:r>
      <w:r>
        <w:t>Brock, W., Lakonishok, J., &amp; LeBaron, B. (1992). Simple Technical Trading Rules and the Stocha</w:t>
      </w:r>
      <w:r>
        <w:t>stic Properties of Stock Returns. The Journal of Finance, 47(5), 1731–1764.</w:t>
      </w:r>
    </w:p>
    <w:p w:rsidR="00BB7620" w:rsidRDefault="00127F3B">
      <w:pPr>
        <w:pStyle w:val="BodySmall"/>
        <w:ind w:left="227" w:hanging="198"/>
        <w:rPr>
          <w:rFonts w:hint="eastAsia"/>
        </w:rPr>
      </w:pPr>
      <w:r>
        <w:rPr>
          <w:b/>
        </w:rPr>
        <w:t xml:space="preserve">• </w:t>
      </w:r>
      <w:r>
        <w:t>Lo, A. W., Mamaysky, H., &amp; Wang, J. (2000). Foundations of Technical Analysis: Computational Algorithms, Statistical Inference, and Empirical Implementation. The Journal of Finan</w:t>
      </w:r>
      <w:r>
        <w:t>ce, 55(4), 1705–1765.</w:t>
      </w:r>
    </w:p>
    <w:p w:rsidR="00BB7620" w:rsidRDefault="00127F3B">
      <w:pPr>
        <w:pStyle w:val="BodySmall"/>
        <w:ind w:left="227" w:hanging="198"/>
        <w:rPr>
          <w:rFonts w:hint="eastAsia"/>
        </w:rPr>
      </w:pPr>
      <w:r>
        <w:rPr>
          <w:b/>
        </w:rPr>
        <w:t xml:space="preserve">• </w:t>
      </w:r>
      <w:r>
        <w:t>Poterba, J. M., &amp; Summers, L. H. (1988). Mean Reversion in Stock Prices: Evidence and Implications. Journal of Financial Economics, 22(1), 27–59.</w:t>
      </w:r>
    </w:p>
    <w:p w:rsidR="00BB7620" w:rsidRDefault="00127F3B">
      <w:pPr>
        <w:pStyle w:val="BodySmall"/>
        <w:ind w:left="227" w:hanging="198"/>
        <w:rPr>
          <w:rFonts w:hint="eastAsia"/>
        </w:rPr>
      </w:pPr>
      <w:r>
        <w:rPr>
          <w:b/>
        </w:rPr>
        <w:t xml:space="preserve">• </w:t>
      </w:r>
      <w:r>
        <w:t xml:space="preserve">Moreira, A., &amp; Muir, T. (2017). Volatility-Managed Portfolios. The Journal of </w:t>
      </w:r>
      <w:r>
        <w:t>Finance, 72(4), 1611–1644.</w:t>
      </w:r>
    </w:p>
    <w:sectPr w:rsidR="00BB7620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7F3B" w:rsidRDefault="00127F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127F3B" w:rsidRDefault="00127F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620" w:rsidRDefault="00127F3B">
    <w:pPr>
      <w:pStyle w:val="BodySmall"/>
      <w:jc w:val="center"/>
      <w:rPr>
        <w:rFonts w:hint="eastAsia"/>
      </w:rPr>
    </w:pPr>
    <w:r>
      <w:t xml:space="preserve">Pagina </w:t>
    </w:r>
    <w:r>
      <w:fldChar w:fldCharType="begin"/>
    </w:r>
    <w:r>
      <w:instrText>PAGE</w:instrText>
    </w:r>
    <w:r w:rsidR="00B20580">
      <w:rPr>
        <w:rFonts w:hint="eastAsia"/>
      </w:rPr>
      <w:fldChar w:fldCharType="separate"/>
    </w:r>
    <w:r w:rsidR="00B20580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7F3B" w:rsidRDefault="00127F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127F3B" w:rsidRDefault="00127F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620" w:rsidRDefault="00127F3B">
    <w:pPr>
      <w:pStyle w:val="BodySmall"/>
      <w:jc w:val="right"/>
      <w:rPr>
        <w:rFonts w:hint="eastAsia"/>
      </w:rPr>
    </w:pPr>
    <w:r>
      <w:t>Guida di progettazione – Strategy Auto Tuning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7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F3B"/>
    <w:rsid w:val="0015074B"/>
    <w:rsid w:val="0029639D"/>
    <w:rsid w:val="00326F90"/>
    <w:rsid w:val="00AA1D8D"/>
    <w:rsid w:val="00B20580"/>
    <w:rsid w:val="00B47730"/>
    <w:rsid w:val="00BB76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F878A60-9D5E-1D4E-A99A-506561F9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  <w:pPr>
      <w:spacing w:after="120"/>
    </w:pPr>
    <w:rPr>
      <w:rFonts w:ascii="Aptos" w:hAnsi="Aptos"/>
      <w:color w:val="282828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e"/>
    <w:pPr>
      <w:spacing w:after="80"/>
    </w:pPr>
    <w:rPr>
      <w:color w:val="5A5A5A"/>
      <w:sz w:val="19"/>
    </w:rPr>
  </w:style>
  <w:style w:type="paragraph" w:customStyle="1" w:styleId="SectionHeading">
    <w:name w:val="Section Heading"/>
    <w:basedOn w:val="Normale"/>
    <w:pPr>
      <w:spacing w:before="200" w:after="80"/>
    </w:pPr>
    <w:rPr>
      <w:b/>
      <w:color w:val="1F4E79"/>
      <w:sz w:val="28"/>
    </w:rPr>
  </w:style>
  <w:style w:type="paragraph" w:customStyle="1" w:styleId="Subheading">
    <w:name w:val="Subheading"/>
    <w:basedOn w:val="Normale"/>
    <w:pPr>
      <w:spacing w:before="160" w:after="60"/>
    </w:pPr>
    <w:rPr>
      <w:b/>
      <w:sz w:val="23"/>
    </w:rPr>
  </w:style>
  <w:style w:type="paragraph" w:customStyle="1" w:styleId="Callout">
    <w:name w:val="Callout"/>
    <w:basedOn w:val="Normale"/>
    <w:pPr>
      <w:spacing w:before="40"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80BB21-36AE-8F40-96D9-E9B0D7BA9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1368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2026-03-09T17:56:00Z</dcterms:created>
  <dcterms:modified xsi:type="dcterms:W3CDTF">2026-03-09T17:56:00Z</dcterms:modified>
  <cp:category/>
</cp:coreProperties>
</file>