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10.0" w:type="dxa"/>
        <w:jc w:val="left"/>
        <w:tblInd w:w="0.0" w:type="pct"/>
        <w:tblLayout w:type="fixed"/>
        <w:tblLook w:val="0000"/>
      </w:tblPr>
      <w:tblGrid>
        <w:gridCol w:w="5272"/>
        <w:gridCol w:w="540"/>
        <w:gridCol w:w="6098"/>
        <w:tblGridChange w:id="0">
          <w:tblGrid>
            <w:gridCol w:w="5272"/>
            <w:gridCol w:w="540"/>
            <w:gridCol w:w="6098"/>
          </w:tblGrid>
        </w:tblGridChange>
      </w:tblGrid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7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Офис секретариата в г.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court_city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1137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court_collegium_address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1137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ТЕЛЕФОН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court_collegium_phone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7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ФАКС: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court_collegium_fax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7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i w:val="0"/>
                  <w:smallCaps w:val="1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WWW.ICARB.RU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1137" w:firstLine="0"/>
              <w:contextualSpacing w:val="0"/>
              <w:jc w:val="left"/>
              <w:rPr>
                <w:rFonts w:ascii="Calibri" w:cs="Calibri" w:eastAsia="Calibri" w:hAnsi="Calibri"/>
                <w:i w:val="1"/>
                <w:smallCaps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court_collegium_email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56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о принятии иска к рассмотрению, месте и времени разбирательства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904.0" w:type="dxa"/>
        <w:jc w:val="left"/>
        <w:tblInd w:w="0.0" w:type="dxa"/>
        <w:tblLayout w:type="fixed"/>
        <w:tblLook w:val="0000"/>
      </w:tblPr>
      <w:tblGrid>
        <w:gridCol w:w="4952"/>
        <w:gridCol w:w="4952"/>
        <w:tblGridChange w:id="0">
          <w:tblGrid>
            <w:gridCol w:w="4952"/>
            <w:gridCol w:w="495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court_city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contextualSpacing w:val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Дело №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court_case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_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court_resolution_claim_acceptance_date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court_resolution_claim_acceptance_signee_position_full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тексту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Третейский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суд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court_resolution_claim_acceptance_signee_name_full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изучив исковое заявление ПАО Сбербанк к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ответчикам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def_company_name_short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garantor_individual_name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взыскании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задолженности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кредитному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договору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приложенные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исковому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заявлению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документы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УСТАНОВИЛ: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Исковое заявление подано с соблюдением требований, предусмотренных статьей 25 Федерального закона от 29.12.2015 № 382-ФЗ «Об арбитраже (третейском разбирательстве) в Российской Федерации» (далее – ФЗ о третейском разбирательстве) и статьей 8 Регламента третейского разбирательства в Третейском суде НАП (далее – Регламент).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Руководствуясь статьей 25 ФЗ о третейском разбирательстве, статьями 4, 8, 10, 11, 12 Регламента,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center"/>
        <w:rPr>
          <w:rFonts w:ascii="Calibri" w:cs="Calibri" w:eastAsia="Calibri" w:hAnsi="Calibri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Принять исковое заявление ПАО Сбербанк к ответчикам: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garantor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взыскании задолженности по кредитному договору в размере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credit_debt_total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 рассмотрению Третейского суда НАП.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В соответствии с ч. 2 ст. 11 ФЗ о третейском разбирательстве стороны арбитража могут согласовать по своему усмотрению процедуру избрания (назначения) арбитра или арбитров при условии соблюдения частей 4-11 указанной статьи. В силу ч.12 ст.7 ФЗ о третейском разбирательстве правила арбитража, на которые ссылается арбитражное соглашение,  рассматриваются в качестве неотъемлемой части арбитражного соглашения.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третейским оговоркам (арбитражным соглашениям), содержащимся в заключенных между истцом и ответчиками договорах, Правила постоянно действующего Третейского суда НАП рассматриваются в качестве неотъемлемой части  третейского соглашения.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соответствии с п. 11.2 Регламента спор разрешается одним судьей, если стороны не договорились об ином либо иное не следует из положений Регламента.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между сторонами не заключено иное соглашение в части определения численного  состава третейского суда и оснований, предусмотренных п. 11.3 Регламента для определения коллегиального состава не имеется,  определить рассмотрение настоящего спора одним арбитром  (единоличное разрешение спора).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С учетом всех обстоятельств дела, включая фактор удобства для сторон, определить местом арбитража (третейского разбирательства) для разрешения спора город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Сторонам в пятидневный срок с момента получения уведомления о принятии иска к рассмотрению представить Третейскому суду НАП согласованные сторонами кандидатуры одного (единого) арбитра (третейского судьи) и одного (единого) запасного арбитра (третейского судьи) из списка территориальной коллегии Третейского суда НАП в г.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(пункт 12.2 Регламента). 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Назначить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заседание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court_session_date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court_session_time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адресу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court_address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Сторонам обеспечить по указанному адресу свою явку и (или) явку своих представителей с документами, подтверждающими их полномочия. В случае невозможности обеспечения явки, сообщить Третейскому суду НАП о возможности рассмотрения дела в свое отсутствие, заблаговременно направив в Третейский суд НАП соответствующие документы.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Ответчикам представить отзыв по делу в офис секретариата Третейского суда НАП по адресу: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court_address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либо по электронной почте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court_collegium_email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позднее двух дней до заседания.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Ответственному секретарю в срок не позднее одного дня с даты подписания настоящего постановления уведомить стороны о принятии иска к рассмотрению, предложить избрать арбитров (третейских судей), сообщить о времени и месте заседания Третейского суда НАП.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dxa"/>
        <w:tblLayout w:type="fixed"/>
        <w:tblLook w:val="0000"/>
      </w:tblPr>
      <w:tblGrid>
        <w:gridCol w:w="4844"/>
        <w:gridCol w:w="4844"/>
        <w:tblGridChange w:id="0">
          <w:tblGrid>
            <w:gridCol w:w="4844"/>
            <w:gridCol w:w="4844"/>
          </w:tblGrid>
        </w:tblGridChange>
      </w:tblGrid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court_resolution_claim_acceptance_signee_position_short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567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567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${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court_resolution_claim_acceptance_signee_name_short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567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pgSz w:h="15840" w:w="12240"/>
      <w:pgMar w:bottom="1134" w:top="1134" w:left="1701" w:right="85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9" w:line="240" w:lineRule="auto"/>
      <w:ind w:left="-1701" w:right="0" w:firstLine="567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-813434</wp:posOffset>
          </wp:positionH>
          <wp:positionV relativeFrom="paragraph">
            <wp:posOffset>-447674</wp:posOffset>
          </wp:positionV>
          <wp:extent cx="6929755" cy="170815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29755" cy="1708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567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carb.ru" TargetMode="Externa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