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9" w:name="Xe5c3d40cdaf87d7a6a1c0384cfe1c3771128d74"/>
    <w:p>
      <w:pPr>
        <w:pStyle w:val="Heading1"/>
      </w:pPr>
      <w:r>
        <w:t xml:space="preserve">Chapter 1: Cryptocurrency Classification Under Islamic Law</w:t>
      </w:r>
    </w:p>
    <w:p>
      <w:pPr>
        <w:pStyle w:val="FirstParagraph"/>
      </w:pPr>
      <w:r>
        <w:t xml:space="preserve">Jurisprudential Analysis, Methodological Divergence, and Proposed Framework</w:t>
      </w:r>
    </w:p>
    <w:bookmarkStart w:id="20" w:name="table-of-contents"/>
    <w:p>
      <w:pPr>
        <w:pStyle w:val="Heading2"/>
      </w:pPr>
      <w:r>
        <w:t xml:space="preserve">TABLE OF CONTENTS</w:t>
      </w:r>
    </w:p>
    <w:p>
      <w:pPr>
        <w:numPr>
          <w:ilvl w:val="0"/>
          <w:numId w:val="1001"/>
        </w:numPr>
        <w:pStyle w:val="Compact"/>
      </w:pPr>
      <w:r>
        <w:t xml:space="preserve">Introduction: The Classification Crisis</w:t>
      </w:r>
    </w:p>
    <w:p>
      <w:pPr>
        <w:numPr>
          <w:ilvl w:val="0"/>
          <w:numId w:val="1001"/>
        </w:numPr>
        <w:pStyle w:val="Compact"/>
      </w:pPr>
      <w:r>
        <w:t xml:space="preserve">Historical Context: Emergence of Digital Assets in Islamic Finance</w:t>
      </w:r>
    </w:p>
    <w:p>
      <w:pPr>
        <w:numPr>
          <w:ilvl w:val="0"/>
          <w:numId w:val="1001"/>
        </w:numPr>
        <w:pStyle w:val="Compact"/>
      </w:pPr>
      <w:r>
        <w:t xml:space="preserve">The Three Jurisprudential Positions</w:t>
      </w:r>
    </w:p>
    <w:p>
      <w:pPr>
        <w:numPr>
          <w:ilvl w:val="1"/>
          <w:numId w:val="1002"/>
        </w:numPr>
        <w:pStyle w:val="Compact"/>
      </w:pPr>
      <w:r>
        <w:t xml:space="preserve">3.1 Position A: Cryptocurrency as Digital Property (Conditionally Permissible)</w:t>
      </w:r>
    </w:p>
    <w:p>
      <w:pPr>
        <w:numPr>
          <w:ilvl w:val="1"/>
          <w:numId w:val="1002"/>
        </w:numPr>
        <w:pStyle w:val="Compact"/>
      </w:pPr>
      <w:r>
        <w:t xml:space="preserve">3.2 Position B: Cryptocurrency as Medium of Exchange (Likely Prohibited)</w:t>
      </w:r>
    </w:p>
    <w:p>
      <w:pPr>
        <w:numPr>
          <w:ilvl w:val="1"/>
          <w:numId w:val="1002"/>
        </w:numPr>
        <w:pStyle w:val="Compact"/>
      </w:pPr>
      <w:r>
        <w:t xml:space="preserve">3.3 Position C: Cryptocurrency as Evolving Asset (Deferred Judgment)</w:t>
      </w:r>
    </w:p>
    <w:p>
      <w:pPr>
        <w:numPr>
          <w:ilvl w:val="0"/>
          <w:numId w:val="1001"/>
        </w:numPr>
        <w:pStyle w:val="Compact"/>
      </w:pPr>
      <w:r>
        <w:t xml:space="preserve">Comparative Jurisprudential Methodology</w:t>
      </w:r>
    </w:p>
    <w:p>
      <w:pPr>
        <w:numPr>
          <w:ilvl w:val="0"/>
          <w:numId w:val="1001"/>
        </w:numPr>
        <w:pStyle w:val="Compact"/>
      </w:pPr>
      <w:r>
        <w:t xml:space="preserve">Maqasid Shariah Framework: Five-Dimensional Compliance Analysis</w:t>
      </w:r>
    </w:p>
    <w:p>
      <w:pPr>
        <w:numPr>
          <w:ilvl w:val="0"/>
          <w:numId w:val="1001"/>
        </w:numPr>
        <w:pStyle w:val="Compact"/>
      </w:pPr>
      <w:r>
        <w:t xml:space="preserve">Synthesis: Toward a Unified Classification Framework</w:t>
      </w:r>
    </w:p>
    <w:p>
      <w:pPr>
        <w:numPr>
          <w:ilvl w:val="0"/>
          <w:numId w:val="1001"/>
        </w:numPr>
        <w:pStyle w:val="Compact"/>
      </w:pPr>
      <w:r>
        <w:t xml:space="preserve">Chapter Conclusion and Transition to Empirical Study</w:t>
      </w:r>
    </w:p>
    <w:p>
      <w:r>
        <w:pict>
          <v:rect style="width:0;height:1.5pt" o:hralign="center" o:hrstd="t" o:hr="t"/>
        </w:pict>
      </w:r>
    </w:p>
    <w:bookmarkEnd w:id="20"/>
    <w:bookmarkStart w:id="24" w:name="introduction-the-classification-crisis"/>
    <w:p>
      <w:pPr>
        <w:pStyle w:val="Heading2"/>
      </w:pPr>
      <w:r>
        <w:t xml:space="preserve">1. INTRODUCTION: THE CLASSIFICATION CRISIS</w:t>
      </w:r>
    </w:p>
    <w:bookmarkStart w:id="21" w:name="problem-statement"/>
    <w:p>
      <w:pPr>
        <w:pStyle w:val="Heading3"/>
      </w:pPr>
      <w:r>
        <w:t xml:space="preserve">1.1 Problem Statement</w:t>
      </w:r>
    </w:p>
    <w:p>
      <w:pPr>
        <w:pStyle w:val="FirstParagraph"/>
      </w:pPr>
      <w:r>
        <w:t xml:space="preserve">The Islamic financial system faces an unprecedented categorization dilemma with the rapid adoption of cryptocurrency across Muslim-majority regions. By 2024, Indonesia ranked third globally in cryptocurrency adoption (39 million users), Malaysia maintained fourth position (4 million users), and the broader Muslim-majority world accounted for approximately 20% of global digital asset transaction volume (CoinLedger, 2024). Yet, despite this massive market penetration, no binding Islamic jurisprudential standard exists for digital assets. Instead, the field operates under what might be termed a</w:t>
      </w:r>
      <w:r>
        <w:t xml:space="preserve"> </w:t>
      </w:r>
      <w:r>
        <w:t xml:space="preserve">“</w:t>
      </w:r>
      <w:r>
        <w:t xml:space="preserve">tripartite fragmentation</w:t>
      </w:r>
      <w:r>
        <w:t xml:space="preserve">”</w:t>
      </w:r>
      <w:r>
        <w:t xml:space="preserve">—three mutually exclusive jurisprudential positions coexist, each defended by respected Islamic scholars and fatwa bodies, with no established mechanism for resolution.</w:t>
      </w:r>
    </w:p>
    <w:p>
      <w:pPr>
        <w:pStyle w:val="BodyText"/>
      </w:pPr>
      <w:r>
        <w:t xml:space="preserve">This fragmentation is not merely theoretical. It has immediate policy consequences. In Indonesia, the Seventh Ijtima’ Ulama of the MUI Fatwa Commission ruled in November 2021 that cryptocurrency is haram as currency and invalid for trade as a commodity unless it meets the Shariah requirements of a tradeable good with a clear underlying (Keputusan Ijtima’ Ulama Komisi Fatwa Se-Indonesia VII, 2021). Simultaneously, the country’s financial regulator, OJK, has assumed supervision of crypto assets under POJK No. 27/2024 (effective January 2025, amended by POJK No. 23/2025 in December 2025) — a religiously neutral licensing regime — while a Shariah classification study conducted jointly with the National Shariah Board (DSN-MUI) remains unresolved as of early 2026, leaving the two normative systems formally unconnected (see Chapter 2, Section 5). In Malaysia, the BNM (Bank Negara Malaysia) and Securities Commission have adopted a conditional permissibility stance, requiring Shariah screening of digital assets before they may be traded on regulated platforms (Bank Negara Malaysia, 2024). The UAE and Bahrain have moved further, establishing comprehensive regulatory frameworks that presume digital asset permissibility unless specific Shariah concerns arise (VARA, 2023; CBB, 2024). Saudi Arabia, by contrast, maintains official caution, with SAMA (Saudi Arabian Monetary Authority) offering no binding permission for cryptocurrency use as either medium of exchange or investment, though state pilots of CBDC continue (SAMA, 2025).</w:t>
      </w:r>
    </w:p>
    <w:p>
      <w:pPr>
        <w:pStyle w:val="BodyText"/>
      </w:pPr>
      <w:r>
        <w:t xml:space="preserve">This jurisdictional divergence creates cascading problems for Islamic financial institutions, service providers, and users:</w:t>
      </w:r>
    </w:p>
    <w:p>
      <w:pPr>
        <w:pStyle w:val="BodyText"/>
      </w:pPr>
      <w:r>
        <w:rPr>
          <w:bCs/>
          <w:b/>
        </w:rPr>
        <w:t xml:space="preserve">For regulators:</w:t>
      </w:r>
      <w:r>
        <w:t xml:space="preserve"> </w:t>
      </w:r>
      <w:r>
        <w:t xml:space="preserve">How should a central bank design prudential rules for digital assets when the jurisprudential foundation is contested? Should cryptocurrency be licensed like a currency (with strict supervision of monetary mechanics), like a commodity (with market-based trading oversight), or like an Islamic financial instrument (with Shariah board supervision)?</w:t>
      </w:r>
    </w:p>
    <w:p>
      <w:pPr>
        <w:pStyle w:val="BodyText"/>
      </w:pPr>
      <w:r>
        <w:rPr>
          <w:bCs/>
          <w:b/>
        </w:rPr>
        <w:t xml:space="preserve">For practitioners:</w:t>
      </w:r>
      <w:r>
        <w:t xml:space="preserve"> </w:t>
      </w:r>
      <w:r>
        <w:t xml:space="preserve">Islamic banks and fintech companies seeking to offer Shariah-compliant cryptocurrency products lack clear technical specifications for compliance. What precisely must a product do to qualify as</w:t>
      </w:r>
      <w:r>
        <w:t xml:space="preserve"> </w:t>
      </w:r>
      <w:r>
        <w:t xml:space="preserve">“</w:t>
      </w:r>
      <w:r>
        <w:t xml:space="preserve">Shariah-compliant</w:t>
      </w:r>
      <w:r>
        <w:t xml:space="preserve">”</w:t>
      </w:r>
      <w:r>
        <w:t xml:space="preserve">? Is the classification of the underlying asset sufficient, or must the product’s contractual mechanics (profit-sharing, collateralization, governance) meet additional requirements?</w:t>
      </w:r>
    </w:p>
    <w:p>
      <w:pPr>
        <w:pStyle w:val="BodyText"/>
      </w:pPr>
      <w:r>
        <w:rPr>
          <w:bCs/>
          <w:b/>
        </w:rPr>
        <w:t xml:space="preserve">For users:</w:t>
      </w:r>
      <w:r>
        <w:t xml:space="preserve"> </w:t>
      </w:r>
      <w:r>
        <w:t xml:space="preserve">Millions of Muslim cryptocurrency adopters operate without authoritative guidance on their own compliance obligations. Is it permissible to hold Bitcoin? To trade it? To participate in DeFi protocols? The absence of consensus creates a</w:t>
      </w:r>
      <w:r>
        <w:t xml:space="preserve"> </w:t>
      </w:r>
      <w:r>
        <w:t xml:space="preserve">“</w:t>
      </w:r>
      <w:r>
        <w:t xml:space="preserve">compliance vacuum</w:t>
      </w:r>
      <w:r>
        <w:t xml:space="preserve">”</w:t>
      </w:r>
      <w:r>
        <w:t xml:space="preserve">—users either follow individual scholar positions (risking criticism from others) or operate with religious uncertainty.</w:t>
      </w:r>
    </w:p>
    <w:bookmarkEnd w:id="21"/>
    <w:bookmarkStart w:id="22" w:name="research-question"/>
    <w:p>
      <w:pPr>
        <w:pStyle w:val="Heading3"/>
      </w:pPr>
      <w:r>
        <w:t xml:space="preserve">1.2 Research Question</w:t>
      </w:r>
    </w:p>
    <w:p>
      <w:pPr>
        <w:pStyle w:val="FirstParagraph"/>
      </w:pPr>
      <w:r>
        <w:t xml:space="preserve">This chapter directly addresses the first of three primary research questions:</w:t>
      </w:r>
    </w:p>
    <w:p>
      <w:pPr>
        <w:pStyle w:val="BodyText"/>
      </w:pPr>
      <w:r>
        <w:rPr>
          <w:bCs/>
          <w:b/>
        </w:rPr>
        <w:t xml:space="preserve">RQ1:</w:t>
      </w:r>
      <w:r>
        <w:t xml:space="preserve"> </w:t>
      </w:r>
      <w:r>
        <w:t xml:space="preserve">How do Islamic jurisprudential frameworks classify cryptocurrency (currency vs. commodity), and what are the methodological reasons for divergence across Indonesia, Malaysia, Saudi Arabia, Bahrain, and UAE?</w:t>
      </w:r>
    </w:p>
    <w:p>
      <w:pPr>
        <w:pStyle w:val="BodyText"/>
      </w:pPr>
      <w:r>
        <w:t xml:space="preserve">The chapter’s core argument is that current jurisprudential fragmentation is not due to ignorance or simple disagreement on facts, but rather reflects genuine methodological divergence—scholars are asking different foundational questions and applying different Islamic legal tools (qiyas, istihsan, maslahah, irtibat) to arrive at logically sound but contradictory conclusions. Understanding these methodological differences is prerequisite to both clarifying the scholarly positions and identifying potential pathways to consensus-building.</w:t>
      </w:r>
    </w:p>
    <w:bookmarkEnd w:id="22"/>
    <w:bookmarkStart w:id="23" w:name="chapter-structure-and-contribution"/>
    <w:p>
      <w:pPr>
        <w:pStyle w:val="Heading3"/>
      </w:pPr>
      <w:r>
        <w:t xml:space="preserve">1.3 Chapter Structure and Contribution</w:t>
      </w:r>
    </w:p>
    <w:p>
      <w:pPr>
        <w:pStyle w:val="FirstParagraph"/>
      </w:pPr>
      <w:r>
        <w:t xml:space="preserve">This chapter proceeds in six steps:</w:t>
      </w:r>
    </w:p>
    <w:p>
      <w:pPr>
        <w:numPr>
          <w:ilvl w:val="0"/>
          <w:numId w:val="1003"/>
        </w:numPr>
      </w:pPr>
      <w:r>
        <w:rPr>
          <w:bCs/>
          <w:b/>
        </w:rPr>
        <w:t xml:space="preserve">Historical context (Section 2):</w:t>
      </w:r>
      <w:r>
        <w:t xml:space="preserve"> </w:t>
      </w:r>
      <w:r>
        <w:t xml:space="preserve">How did cryptocurrency emerge in Islamic finance discourse? What previous asset classifications did scholars draw upon?</w:t>
      </w:r>
    </w:p>
    <w:p>
      <w:pPr>
        <w:numPr>
          <w:ilvl w:val="0"/>
          <w:numId w:val="1003"/>
        </w:numPr>
      </w:pPr>
      <w:r>
        <w:rPr>
          <w:bCs/>
          <w:b/>
        </w:rPr>
        <w:t xml:space="preserve">The three positions (Section 3):</w:t>
      </w:r>
      <w:r>
        <w:t xml:space="preserve"> </w:t>
      </w:r>
      <w:r>
        <w:t xml:space="preserve">Detailed exposition of each jurisprudential stance, including primary sources (fatwas, academic papers, institutional statements) and the reasoning underlying each.</w:t>
      </w:r>
    </w:p>
    <w:p>
      <w:pPr>
        <w:numPr>
          <w:ilvl w:val="0"/>
          <w:numId w:val="1003"/>
        </w:numPr>
      </w:pPr>
      <w:r>
        <w:rPr>
          <w:bCs/>
          <w:b/>
        </w:rPr>
        <w:t xml:space="preserve">Methodological comparison (Section 4):</w:t>
      </w:r>
      <w:r>
        <w:t xml:space="preserve"> </w:t>
      </w:r>
      <w:r>
        <w:t xml:space="preserve">Systematic analysis of why these positions diverge—which Islamic legal methods does each employ? Where do they agree, and where do disagreements become fundamental?</w:t>
      </w:r>
    </w:p>
    <w:p>
      <w:pPr>
        <w:numPr>
          <w:ilvl w:val="0"/>
          <w:numId w:val="1003"/>
        </w:numPr>
      </w:pPr>
      <w:r>
        <w:rPr>
          <w:bCs/>
          <w:b/>
        </w:rPr>
        <w:t xml:space="preserve">Maqasid Shariah framework (Section 5):</w:t>
      </w:r>
      <w:r>
        <w:t xml:space="preserve"> </w:t>
      </w:r>
      <w:r>
        <w:t xml:space="preserve">Application of Islamic jurisprudence’s objectives (maqasid) to derive a five-dimensional compliance specification applicable across positions.</w:t>
      </w:r>
    </w:p>
    <w:p>
      <w:pPr>
        <w:numPr>
          <w:ilvl w:val="0"/>
          <w:numId w:val="1003"/>
        </w:numPr>
      </w:pPr>
      <w:r>
        <w:rPr>
          <w:bCs/>
          <w:b/>
        </w:rPr>
        <w:t xml:space="preserve">Synthesis (Section 6):</w:t>
      </w:r>
      <w:r>
        <w:t xml:space="preserve"> </w:t>
      </w:r>
      <w:r>
        <w:t xml:space="preserve">Proposed unified classification framework that acknowledges the three positions while identifying areas of consensus and suggesting evidence that could shift positions.</w:t>
      </w:r>
    </w:p>
    <w:p>
      <w:pPr>
        <w:numPr>
          <w:ilvl w:val="0"/>
          <w:numId w:val="1003"/>
        </w:numPr>
      </w:pPr>
      <w:r>
        <w:rPr>
          <w:bCs/>
          <w:b/>
        </w:rPr>
        <w:t xml:space="preserve">Conclusion (Section 7):</w:t>
      </w:r>
      <w:r>
        <w:t xml:space="preserve"> </w:t>
      </w:r>
      <w:r>
        <w:t xml:space="preserve">Bridge to empirical chapters—how does jurisprudential theory need to be tested against market reality?</w:t>
      </w:r>
    </w:p>
    <w:p>
      <w:pPr>
        <w:pStyle w:val="FirstParagraph"/>
      </w:pPr>
      <w:r>
        <w:rPr>
          <w:bCs/>
          <w:b/>
        </w:rPr>
        <w:t xml:space="preserve">Contribution:</w:t>
      </w:r>
      <w:r>
        <w:t xml:space="preserve"> </w:t>
      </w:r>
      <w:r>
        <w:t xml:space="preserve">This chapter fills three documented gaps in Islamic finance literature:</w:t>
      </w:r>
    </w:p>
    <w:p>
      <w:pPr>
        <w:numPr>
          <w:ilvl w:val="0"/>
          <w:numId w:val="1004"/>
        </w:numPr>
      </w:pPr>
      <w:r>
        <w:rPr>
          <w:bCs/>
          <w:b/>
        </w:rPr>
        <w:t xml:space="preserve">Gap 1:</w:t>
      </w:r>
      <w:r>
        <w:t xml:space="preserve"> </w:t>
      </w:r>
      <w:r>
        <w:t xml:space="preserve">Existing literature catalogs different fatwa positions but provides no systematic methodology comparison. This chapter makes that comparison explicit.</w:t>
      </w:r>
    </w:p>
    <w:p>
      <w:pPr>
        <w:numPr>
          <w:ilvl w:val="0"/>
          <w:numId w:val="1004"/>
        </w:numPr>
      </w:pPr>
      <w:r>
        <w:rPr>
          <w:bCs/>
          <w:b/>
        </w:rPr>
        <w:t xml:space="preserve">Gap 2:</w:t>
      </w:r>
      <w:r>
        <w:t xml:space="preserve"> </w:t>
      </w:r>
      <w:r>
        <w:t xml:space="preserve">Islamic finance scholarship articulates Maqasid principles in the abstract but rarely operationalizes them into testable compliance criteria. This chapter develops five concrete dimensions.</w:t>
      </w:r>
    </w:p>
    <w:p>
      <w:pPr>
        <w:numPr>
          <w:ilvl w:val="0"/>
          <w:numId w:val="1004"/>
        </w:numPr>
      </w:pPr>
      <w:r>
        <w:rPr>
          <w:bCs/>
          <w:b/>
        </w:rPr>
        <w:t xml:space="preserve">Gap 3:</w:t>
      </w:r>
      <w:r>
        <w:t xml:space="preserve"> </w:t>
      </w:r>
      <w:r>
        <w:t xml:space="preserve">Jurisprudential literature assumes the three positions are fundamentally irreconcilable, but this chapter identifies specific areas where positions could converge given new evidence or clarification.</w:t>
      </w:r>
    </w:p>
    <w:p>
      <w:r>
        <w:pict>
          <v:rect style="width:0;height:1.5pt" o:hralign="center" o:hrstd="t" o:hr="t"/>
        </w:pict>
      </w:r>
    </w:p>
    <w:bookmarkEnd w:id="23"/>
    <w:bookmarkEnd w:id="24"/>
    <w:bookmarkStart w:id="29" w:name="X628fbef050fa4a1a35256f6a1b4ab353574e8ad"/>
    <w:p>
      <w:pPr>
        <w:pStyle w:val="Heading2"/>
      </w:pPr>
      <w:r>
        <w:t xml:space="preserve">2. HISTORICAL CONTEXT: EMERGENCE OF DIGITAL ASSETS IN ISLAMIC FINANCE DISCOURSE</w:t>
      </w:r>
    </w:p>
    <w:bookmarkStart w:id="25" w:name="Xd4f96bcfb2b5b3031e664bbf0ad52041d258c55"/>
    <w:p>
      <w:pPr>
        <w:pStyle w:val="Heading3"/>
      </w:pPr>
      <w:r>
        <w:t xml:space="preserve">2.1 Pre-Cryptocurrency Islamic Finance Framework</w:t>
      </w:r>
    </w:p>
    <w:p>
      <w:pPr>
        <w:pStyle w:val="FirstParagraph"/>
      </w:pPr>
      <w:r>
        <w:t xml:space="preserve">To understand how Islamic jurisprudence addresses cryptocurrency, we must first recognize what conceptual framework it inherited. Classical Islamic jurisprudence developed detailed classifications for financial instruments:</w:t>
      </w:r>
      <w:r>
        <w:t xml:space="preserve"> </w:t>
      </w:r>
      <w:r>
        <w:rPr>
          <w:bCs/>
          <w:b/>
        </w:rPr>
        <w:t xml:space="preserve">al-naqd</w:t>
      </w:r>
      <w:r>
        <w:t xml:space="preserve"> </w:t>
      </w:r>
      <w:r>
        <w:t xml:space="preserve">(money),</w:t>
      </w:r>
      <w:r>
        <w:t xml:space="preserve"> </w:t>
      </w:r>
      <w:r>
        <w:rPr>
          <w:bCs/>
          <w:b/>
        </w:rPr>
        <w:t xml:space="preserve">al-mal</w:t>
      </w:r>
      <w:r>
        <w:t xml:space="preserve"> </w:t>
      </w:r>
      <w:r>
        <w:t xml:space="preserve">(property/wealth),</w:t>
      </w:r>
      <w:r>
        <w:t xml:space="preserve"> </w:t>
      </w:r>
      <w:r>
        <w:rPr>
          <w:bCs/>
          <w:b/>
        </w:rPr>
        <w:t xml:space="preserve">al-’uruf</w:t>
      </w:r>
      <w:r>
        <w:t xml:space="preserve"> </w:t>
      </w:r>
      <w:r>
        <w:t xml:space="preserve">(customary practices),</w:t>
      </w:r>
      <w:r>
        <w:t xml:space="preserve"> </w:t>
      </w:r>
      <w:r>
        <w:rPr>
          <w:bCs/>
          <w:b/>
        </w:rPr>
        <w:t xml:space="preserve">al-’aqd</w:t>
      </w:r>
      <w:r>
        <w:t xml:space="preserve"> </w:t>
      </w:r>
      <w:r>
        <w:t xml:space="preserve">(contracts), among others. Each carried specific legal consequences. Money (naqd) was subject to riba prohibitions and must exchange at equal weight/measure (for precious metals that served as currency historically). Property (mal) could be traded at market rates but was subject to other restrictions (e.g., sale of khamr, alcohol, was prohibited on substance grounds even if property was otherwise valid). Contracts (’aqd) required offer, acceptance, capacity of parties, and licit subject matter.</w:t>
      </w:r>
    </w:p>
    <w:p>
      <w:pPr>
        <w:pStyle w:val="BodyText"/>
      </w:pPr>
      <w:r>
        <w:t xml:space="preserve">Medieval and pre-modern Islamic scholars had developed sophisticated jurisprudence around these categories. When they encountered fiat currency (as opposed to commodity-based money), they extended existing frameworks—debating whether paper currency, which lacks intrinsic value, should be treated as a representative of precious metals (and thus subject to riba rules) or as a novel form of commodity/property with its own rules. This debate, articulated by thinkers like Ibn Taymiyyah and al-Maqrizi in the 14th–15th centuries, established precedent:</w:t>
      </w:r>
      <w:r>
        <w:t xml:space="preserve"> </w:t>
      </w:r>
      <w:r>
        <w:rPr>
          <w:bCs/>
          <w:b/>
        </w:rPr>
        <w:t xml:space="preserve">new financial forms can be assessed under Islamic law by asking: which category of existing Islamic legal concepts does this most closely resemble?</w:t>
      </w:r>
    </w:p>
    <w:bookmarkEnd w:id="25"/>
    <w:bookmarkStart w:id="26" w:name="the-fintech-transition-20082017"/>
    <w:p>
      <w:pPr>
        <w:pStyle w:val="Heading3"/>
      </w:pPr>
      <w:r>
        <w:t xml:space="preserve">2.2 The Fintech Transition (2008–2017)</w:t>
      </w:r>
    </w:p>
    <w:p>
      <w:pPr>
        <w:pStyle w:val="FirstParagraph"/>
      </w:pPr>
      <w:r>
        <w:t xml:space="preserve">The global financial crisis of 2008, followed by rapid fintech innovation, forced Islamic finance to confront digital assets more broadly. The emergence of mobile banking, digital wallets, and eventually blockchain applications required Islamic scholars to re-examine foundational assumptions:</w:t>
      </w:r>
    </w:p>
    <w:p>
      <w:pPr>
        <w:numPr>
          <w:ilvl w:val="0"/>
          <w:numId w:val="1005"/>
        </w:numPr>
        <w:pStyle w:val="Compact"/>
      </w:pPr>
      <w:r>
        <w:t xml:space="preserve">Could money exist purely in digital form (not backed by physical notes)?</w:t>
      </w:r>
    </w:p>
    <w:p>
      <w:pPr>
        <w:numPr>
          <w:ilvl w:val="0"/>
          <w:numId w:val="1005"/>
        </w:numPr>
        <w:pStyle w:val="Compact"/>
      </w:pPr>
      <w:r>
        <w:t xml:space="preserve">What happens to riba prohibition if transaction settlement becomes near-instantaneous and fully auditable?</w:t>
      </w:r>
    </w:p>
    <w:p>
      <w:pPr>
        <w:numPr>
          <w:ilvl w:val="0"/>
          <w:numId w:val="1005"/>
        </w:numPr>
        <w:pStyle w:val="Compact"/>
      </w:pPr>
      <w:r>
        <w:t xml:space="preserve">Could smart contracts—self-executing agreements—replace human Shariah board approval if properly programmed?</w:t>
      </w:r>
    </w:p>
    <w:p>
      <w:pPr>
        <w:pStyle w:val="FirstParagraph"/>
      </w:pPr>
      <w:r>
        <w:t xml:space="preserve">Islamic finance centers like Malaysia and Bahrain began issuing formal guidance on digital payments and fintech (see BNM’s Digital Banking Framework, 2018–2020; CBB’s fintech guidelines, 2018–2019). These early frameworks established that</w:t>
      </w:r>
      <w:r>
        <w:t xml:space="preserve"> </w:t>
      </w:r>
      <w:r>
        <w:rPr>
          <w:bCs/>
          <w:b/>
        </w:rPr>
        <w:t xml:space="preserve">digital representation itself does not disqualify an instrument from being Shariah-compliant</w:t>
      </w:r>
      <w:r>
        <w:t xml:space="preserve">; what matters is the underlying transaction’s compliance with Islamic principles.</w:t>
      </w:r>
    </w:p>
    <w:bookmarkEnd w:id="26"/>
    <w:bookmarkStart w:id="27" w:name="the-cryptocurrency-pivot-2017present"/>
    <w:p>
      <w:pPr>
        <w:pStyle w:val="Heading3"/>
      </w:pPr>
      <w:r>
        <w:t xml:space="preserve">2.3 The Cryptocurrency Pivot (2017–Present)</w:t>
      </w:r>
    </w:p>
    <w:p>
      <w:pPr>
        <w:pStyle w:val="FirstParagraph"/>
      </w:pPr>
      <w:r>
        <w:t xml:space="preserve">Cryptocurrency introduced three novel complications absent from earlier digital asset discussions:</w:t>
      </w:r>
    </w:p>
    <w:p>
      <w:pPr>
        <w:numPr>
          <w:ilvl w:val="0"/>
          <w:numId w:val="1006"/>
        </w:numPr>
      </w:pPr>
      <w:r>
        <w:rPr>
          <w:bCs/>
          <w:b/>
        </w:rPr>
        <w:t xml:space="preserve">Decentralization without a sovereign or institutional issuer.</w:t>
      </w:r>
      <w:r>
        <w:t xml:space="preserve"> </w:t>
      </w:r>
      <w:r>
        <w:t xml:space="preserve">Fiat currency derives regulatory authority from a state; corporate digital tokens from an issuing entity. Bitcoin and most cryptocurrencies are issued by no single authority—miners/validators execute protocol-level functions. This challenged assumptions about who bears responsibility for compliance and how Shariah oversight could be exercised.</w:t>
      </w:r>
    </w:p>
    <w:p>
      <w:pPr>
        <w:numPr>
          <w:ilvl w:val="0"/>
          <w:numId w:val="1006"/>
        </w:numPr>
      </w:pPr>
      <w:r>
        <w:rPr>
          <w:bCs/>
          <w:b/>
        </w:rPr>
        <w:t xml:space="preserve">Speculative trading as the primary use case.</w:t>
      </w:r>
      <w:r>
        <w:t xml:space="preserve"> </w:t>
      </w:r>
      <w:r>
        <w:t xml:space="preserve">Earlier digital assets (online banking, e-wallets) were primarily payment or storage mechanisms; speculation was secondary. Cryptocurrency markets reversed this: the vast majority of trading volume is speculative rather than payment-based (Chainalysis, 2025). This raised immediate Maqasid concerns around</w:t>
      </w:r>
      <w:r>
        <w:t xml:space="preserve"> </w:t>
      </w:r>
      <w:r>
        <w:rPr>
          <w:bCs/>
          <w:b/>
        </w:rPr>
        <w:t xml:space="preserve">maysir</w:t>
      </w:r>
      <w:r>
        <w:t xml:space="preserve"> </w:t>
      </w:r>
      <w:r>
        <w:t xml:space="preserve">(gambling/speculation) and</w:t>
      </w:r>
      <w:r>
        <w:t xml:space="preserve"> </w:t>
      </w:r>
      <w:r>
        <w:rPr>
          <w:bCs/>
          <w:b/>
        </w:rPr>
        <w:t xml:space="preserve">gharar</w:t>
      </w:r>
      <w:r>
        <w:t xml:space="preserve"> </w:t>
      </w:r>
      <w:r>
        <w:t xml:space="preserve">(excessive uncertainty).</w:t>
      </w:r>
    </w:p>
    <w:p>
      <w:pPr>
        <w:numPr>
          <w:ilvl w:val="0"/>
          <w:numId w:val="1006"/>
        </w:numPr>
      </w:pPr>
      <w:r>
        <w:rPr>
          <w:bCs/>
          <w:b/>
        </w:rPr>
        <w:t xml:space="preserve">Programmed scarcity and algorithmic monetary policy.</w:t>
      </w:r>
      <w:r>
        <w:t xml:space="preserve"> </w:t>
      </w:r>
      <w:r>
        <w:t xml:space="preserve">Bitcoin’s supply is capped by protocol; Ethereum’s supply is algorithmically managed. This created philosophical questions: Does fixed supply constitute</w:t>
      </w:r>
      <w:r>
        <w:t xml:space="preserve"> </w:t>
      </w:r>
      <w:r>
        <w:t xml:space="preserve">“</w:t>
      </w:r>
      <w:r>
        <w:t xml:space="preserve">intrinsic value</w:t>
      </w:r>
      <w:r>
        <w:t xml:space="preserve">”</w:t>
      </w:r>
      <w:r>
        <w:t xml:space="preserve">? Does algorithmic rather than human monetary policy change Shariah assessment? Does this create a new asset category requiring new jurisprudence?</w:t>
      </w:r>
    </w:p>
    <w:p>
      <w:pPr>
        <w:pStyle w:val="FirstParagraph"/>
      </w:pPr>
      <w:r>
        <w:t xml:space="preserve">The AAOIFI (Accounting and Auditing Organization for Islamic Financial Institutions), the primary standard-setter for Islamic finance, formally acknowledged cryptocurrency’s challenge in a May 2023 roundtable discussion. Secretary General Koutoub Moustapha Sano stated:</w:t>
      </w:r>
    </w:p>
    <w:p>
      <w:pPr>
        <w:pStyle w:val="BlockText"/>
      </w:pPr>
      <w:r>
        <w:t xml:space="preserve">“</w:t>
      </w:r>
      <w:r>
        <w:t xml:space="preserve">Digital assets refer to anything that can be stored and transmitted electronically via a computer or digital device and is linked to ownership or usage rights. The Shariah ruling regarding these and other new transactions must be based on general texts of Shariah, general maxims, and higher objectives.</w:t>
      </w:r>
      <w:r>
        <w:t xml:space="preserve">”</w:t>
      </w:r>
      <w:r>
        <w:t xml:space="preserve"> </w:t>
      </w:r>
      <w:r>
        <w:t xml:space="preserve">(Sano, 2023 — Secretary General of the International Islamic Fiqh Academy, addressing the 21st AAOIFI Shariah Board Conference, Manama, 8 May 2023)</w:t>
      </w:r>
    </w:p>
    <w:p>
      <w:pPr>
        <w:pStyle w:val="FirstParagraph"/>
      </w:pPr>
      <w:r>
        <w:t xml:space="preserve">Critically, the statement did not issue a binding ruling. As of July 2026, AAOIFI has not published Standard No. 63 on Digital Assets (HalalScreener, 2026).</w:t>
      </w:r>
      <w:r>
        <w:t xml:space="preserve"> </w:t>
      </w:r>
      <w:r>
        <w:rPr>
          <w:bCs/>
          <w:b/>
        </w:rPr>
        <w:t xml:space="preserve">This silence itself became significant</w:t>
      </w:r>
      <w:r>
        <w:t xml:space="preserve">—it effectively permitted jurisdictional bodies to develop their own frameworks, explaining the current fragmentation.</w:t>
      </w:r>
    </w:p>
    <w:bookmarkEnd w:id="27"/>
    <w:bookmarkStart w:id="28" w:name="X75895778a61bd062eae554da12205a29e9aa067"/>
    <w:p>
      <w:pPr>
        <w:pStyle w:val="Heading3"/>
      </w:pPr>
      <w:r>
        <w:t xml:space="preserve">2.4 Three Parallel Jurisprudential Responses (2017–2026)</w:t>
      </w:r>
    </w:p>
    <w:p>
      <w:pPr>
        <w:pStyle w:val="FirstParagraph"/>
      </w:pPr>
      <w:r>
        <w:t xml:space="preserve">Against this backdrop, three distinct jurisprudential responses crystallized, each grounded in different interpretations of how Islamic law should approach unprecedented financial innovation.</w:t>
      </w:r>
    </w:p>
    <w:p>
      <w:r>
        <w:pict>
          <v:rect style="width:0;height:1.5pt" o:hralign="center" o:hrstd="t" o:hr="t"/>
        </w:pict>
      </w:r>
    </w:p>
    <w:bookmarkEnd w:id="28"/>
    <w:bookmarkEnd w:id="29"/>
    <w:bookmarkStart w:id="45" w:name="the-three-jurisprudential-positions"/>
    <w:p>
      <w:pPr>
        <w:pStyle w:val="Heading2"/>
      </w:pPr>
      <w:r>
        <w:t xml:space="preserve">3. THE THREE JURISPRUDENTIAL POSITIONS</w:t>
      </w:r>
    </w:p>
    <w:bookmarkStart w:id="34" w:name="Xf6458c8b58defebe2f0900dc4dbd79888708283"/>
    <w:p>
      <w:pPr>
        <w:pStyle w:val="Heading3"/>
      </w:pPr>
      <w:r>
        <w:t xml:space="preserve">3.1 POSITION A: CRYPTOCURRENCY AS DIGITAL PROPERTY (CONDITIONALLY PERMISSIBLE)</w:t>
      </w:r>
    </w:p>
    <w:bookmarkStart w:id="30" w:name="position-overview-and-primary-advocates"/>
    <w:p>
      <w:pPr>
        <w:pStyle w:val="Heading4"/>
      </w:pPr>
      <w:r>
        <w:t xml:space="preserve">3.1.1 Position Overview and Primary Advocates</w:t>
      </w:r>
    </w:p>
    <w:p>
      <w:pPr>
        <w:pStyle w:val="FirstParagraph"/>
      </w:pPr>
      <w:r>
        <w:t xml:space="preserve">The first jurisprudential position classifies cryptocurrency as</w:t>
      </w:r>
      <w:r>
        <w:t xml:space="preserve"> </w:t>
      </w:r>
      <w:r>
        <w:rPr>
          <w:bCs/>
          <w:b/>
        </w:rPr>
        <w:t xml:space="preserve">mal</w:t>
      </w:r>
      <w:r>
        <w:t xml:space="preserve"> </w:t>
      </w:r>
      <w:r>
        <w:t xml:space="preserve">(property or wealth) and concludes that cryptocurrency trading is</w:t>
      </w:r>
      <w:r>
        <w:t xml:space="preserve"> </w:t>
      </w:r>
      <w:r>
        <w:rPr>
          <w:bCs/>
          <w:b/>
        </w:rPr>
        <w:t xml:space="preserve">mubah</w:t>
      </w:r>
      <w:r>
        <w:t xml:space="preserve"> </w:t>
      </w:r>
      <w:r>
        <w:t xml:space="preserve">(permissible) under Islamic law, subject to strict conditions on speculation, transparency, and asset-backing. This position is held by:</w:t>
      </w:r>
    </w:p>
    <w:p>
      <w:pPr>
        <w:numPr>
          <w:ilvl w:val="0"/>
          <w:numId w:val="1007"/>
        </w:numPr>
      </w:pPr>
      <w:r>
        <w:rPr>
          <w:bCs/>
          <w:b/>
        </w:rPr>
        <w:t xml:space="preserve">Southeast Asian Shariah scholars:</w:t>
      </w:r>
      <w:r>
        <w:t xml:space="preserve"> </w:t>
      </w:r>
      <w:r>
        <w:t xml:space="preserve">Mufti Faraz Adam (Senior Islamic Finance Advisor to U.K. Shariah Council), Dr. Ziyaad Mahomed (Islamic finance scholar), regional Islamic bank Shariah boards in Malaysia and Bahrain</w:t>
      </w:r>
    </w:p>
    <w:p>
      <w:pPr>
        <w:numPr>
          <w:ilvl w:val="0"/>
          <w:numId w:val="1007"/>
        </w:numPr>
      </w:pPr>
      <w:r>
        <w:rPr>
          <w:bCs/>
          <w:b/>
        </w:rPr>
        <w:t xml:space="preserve">Progressive Islamic finance centers:</w:t>
      </w:r>
      <w:r>
        <w:t xml:space="preserve"> </w:t>
      </w:r>
      <w:r>
        <w:t xml:space="preserve">Malaysia (BNM Shariah Advisory Council), Bahrain (Central Bank of Bahrain Shariah oversight), UAE (VARA regulatory framework)</w:t>
      </w:r>
    </w:p>
    <w:p>
      <w:pPr>
        <w:numPr>
          <w:ilvl w:val="0"/>
          <w:numId w:val="1007"/>
        </w:numPr>
      </w:pPr>
      <w:r>
        <w:rPr>
          <w:bCs/>
          <w:b/>
        </w:rPr>
        <w:t xml:space="preserve">Academic proponents:</w:t>
      </w:r>
      <w:r>
        <w:t xml:space="preserve"> </w:t>
      </w:r>
      <w:r>
        <w:t xml:space="preserve">Research papers from ISRA (International Shariah Research Academy, Malaysia), STEI FI (Indonesia), and regional Islamic finance centers</w:t>
      </w:r>
    </w:p>
    <w:bookmarkEnd w:id="30"/>
    <w:bookmarkStart w:id="31" w:name="core-jurisprudential-argument"/>
    <w:p>
      <w:pPr>
        <w:pStyle w:val="Heading4"/>
      </w:pPr>
      <w:r>
        <w:t xml:space="preserve">3.1.2 Core Jurisprudential Argument</w:t>
      </w:r>
    </w:p>
    <w:p>
      <w:pPr>
        <w:pStyle w:val="FirstParagraph"/>
      </w:pPr>
      <w:r>
        <w:t xml:space="preserve">Proponents of Position A begin with a foundational analogy:</w:t>
      </w:r>
      <w:r>
        <w:t xml:space="preserve"> </w:t>
      </w:r>
      <w:r>
        <w:rPr>
          <w:bCs/>
          <w:b/>
        </w:rPr>
        <w:t xml:space="preserve">cryptocurrency should be treated like precious metals or commodities, not like fiat currency.</w:t>
      </w:r>
    </w:p>
    <w:p>
      <w:pPr>
        <w:pStyle w:val="BodyText"/>
      </w:pPr>
      <w:r>
        <w:t xml:space="preserve">The reasoning proceeds as follows:</w:t>
      </w:r>
    </w:p>
    <w:p>
      <w:pPr>
        <w:pStyle w:val="BodyText"/>
      </w:pPr>
      <w:r>
        <w:rPr>
          <w:bCs/>
          <w:b/>
        </w:rPr>
        <w:t xml:space="preserve">Definition step:</w:t>
      </w:r>
      <w:r>
        <w:t xml:space="preserve"> </w:t>
      </w:r>
      <w:r>
        <w:t xml:space="preserve">Cryptocurrency possesses properties analogous to pre-modern commodity money:</w:t>
      </w:r>
      <w:r>
        <w:t xml:space="preserve"> </w:t>
      </w:r>
      <w:r>
        <w:t xml:space="preserve">- Finite supply (Bitcoin: 21 million maximum)</w:t>
      </w:r>
      <w:r>
        <w:t xml:space="preserve"> </w:t>
      </w:r>
      <w:r>
        <w:t xml:space="preserve">- Divisibility (fractional units tradeable)</w:t>
      </w:r>
      <w:r>
        <w:t xml:space="preserve"> </w:t>
      </w:r>
      <w:r>
        <w:t xml:space="preserve">- Portability (digital but not tied to geography)</w:t>
      </w:r>
      <w:r>
        <w:t xml:space="preserve"> </w:t>
      </w:r>
      <w:r>
        <w:t xml:space="preserve">- Utility (can function as medium of exchange, though currently limited)</w:t>
      </w:r>
      <w:r>
        <w:t xml:space="preserve"> </w:t>
      </w:r>
      <w:r>
        <w:t xml:space="preserve">- No dependence on sovereign or institutional credit (unlike fiat currency)</w:t>
      </w:r>
    </w:p>
    <w:p>
      <w:pPr>
        <w:pStyle w:val="BodyText"/>
      </w:pPr>
      <w:r>
        <w:rPr>
          <w:bCs/>
          <w:b/>
        </w:rPr>
        <w:t xml:space="preserve">Analogical step (Qiyas):</w:t>
      </w:r>
      <w:r>
        <w:t xml:space="preserve"> </w:t>
      </w:r>
      <w:r>
        <w:t xml:space="preserve">Given these properties, the most fitting Islamic legal analogy is to commodities that possess intrinsic scarcity, such as:</w:t>
      </w:r>
      <w:r>
        <w:t xml:space="preserve"> </w:t>
      </w:r>
      <w:r>
        <w:t xml:space="preserve">- Gold and silver (precious metals), which Islamic jurisprudence permits to own and trade</w:t>
      </w:r>
      <w:r>
        <w:t xml:space="preserve"> </w:t>
      </w:r>
      <w:r>
        <w:t xml:space="preserve">- Agricultural commodities (wheat, dates), which may be bought and sold at market rates</w:t>
      </w:r>
      <w:r>
        <w:t xml:space="preserve"> </w:t>
      </w:r>
      <w:r>
        <w:t xml:space="preserve">- Digital goods (software, intellectual property), which modern scholars permit as property</w:t>
      </w:r>
    </w:p>
    <w:p>
      <w:pPr>
        <w:pStyle w:val="BodyText"/>
      </w:pPr>
      <w:r>
        <w:rPr>
          <w:bCs/>
          <w:b/>
        </w:rPr>
        <w:t xml:space="preserve">Riba Analysis:</w:t>
      </w:r>
      <w:r>
        <w:t xml:space="preserve"> </w:t>
      </w:r>
      <w:r>
        <w:t xml:space="preserve">Under commodity classification:</w:t>
      </w:r>
      <w:r>
        <w:t xml:space="preserve"> </w:t>
      </w:r>
      <w:r>
        <w:t xml:space="preserve">- Riba (interest/usury) prohibition applies only if both parties of a transaction are exchanging the same good (riba al-fadl, price variance; riba al-nasi’ah, time-based premium)</w:t>
      </w:r>
      <w:r>
        <w:t xml:space="preserve"> </w:t>
      </w:r>
      <w:r>
        <w:t xml:space="preserve">- Cryptocurrency to fiat currency exchange is permissible (like gold-to-currency exchange)</w:t>
      </w:r>
      <w:r>
        <w:t xml:space="preserve"> </w:t>
      </w:r>
      <w:r>
        <w:t xml:space="preserve">- Cryptocurrency-to-cryptocurrency exchange at fair market rates is permissible</w:t>
      </w:r>
      <w:r>
        <w:t xml:space="preserve"> </w:t>
      </w:r>
      <w:r>
        <w:t xml:space="preserve">-</w:t>
      </w:r>
      <w:r>
        <w:t xml:space="preserve"> </w:t>
      </w:r>
      <w:r>
        <w:rPr>
          <w:bCs/>
          <w:b/>
        </w:rPr>
        <w:t xml:space="preserve">Prohibited:</w:t>
      </w:r>
      <w:r>
        <w:t xml:space="preserve"> </w:t>
      </w:r>
      <w:r>
        <w:t xml:space="preserve">Lending cryptocurrency with guaranteed return (e.g.,</w:t>
      </w:r>
      <w:r>
        <w:t xml:space="preserve"> </w:t>
      </w:r>
      <w:r>
        <w:t xml:space="preserve">“</w:t>
      </w:r>
      <w:r>
        <w:t xml:space="preserve">I lend you 1 BTC; return 1.5 BTC</w:t>
      </w:r>
      <w:r>
        <w:t xml:space="preserve">”</w:t>
      </w:r>
      <w:r>
        <w:t xml:space="preserve">)</w:t>
      </w:r>
    </w:p>
    <w:p>
      <w:pPr>
        <w:pStyle w:val="BodyText"/>
      </w:pPr>
      <w:r>
        <w:rPr>
          <w:bCs/>
          <w:b/>
        </w:rPr>
        <w:t xml:space="preserve">Gharar (Uncertainty) Analysis:</w:t>
      </w:r>
      <w:r>
        <w:t xml:space="preserve"> </w:t>
      </w:r>
      <w:r>
        <w:t xml:space="preserve">Proponents acknowledge that gharar is relevant but argue that managed gharar is not prohibited:</w:t>
      </w:r>
      <w:r>
        <w:t xml:space="preserve"> </w:t>
      </w:r>
      <w:r>
        <w:t xml:space="preserve">- All futures markets involve uncertainty about future price</w:t>
      </w:r>
      <w:r>
        <w:t xml:space="preserve"> </w:t>
      </w:r>
      <w:r>
        <w:t xml:space="preserve">- Islamic jurisprudence permits commodity futures if there is real economic purpose (hedging) rather than pure speculation</w:t>
      </w:r>
      <w:r>
        <w:t xml:space="preserve"> </w:t>
      </w:r>
      <w:r>
        <w:t xml:space="preserve">- Gharar is excessive only if: (a) neither party understands the transaction, (b) the outcome is entirely determined by chance, or (c) the transaction serves no economic purpose beyond gambling</w:t>
      </w:r>
      <w:r>
        <w:t xml:space="preserve"> </w:t>
      </w:r>
      <w:r>
        <w:t xml:space="preserve">- Cryptocurrency trading can satisfy Islamic requirements if (i) traders understand they are trading volatile commodities, (ii) regulatory caps exist on leverage and speculation, and (iii) Shariah boards monitor for pure</w:t>
      </w:r>
      <w:r>
        <w:t xml:space="preserve"> </w:t>
      </w:r>
      <w:r>
        <w:rPr>
          <w:bCs/>
          <w:b/>
        </w:rPr>
        <w:t xml:space="preserve">maysir</w:t>
      </w:r>
    </w:p>
    <w:bookmarkEnd w:id="31"/>
    <w:bookmarkStart w:id="32" w:name="X52946d663749b7b62a9b20d4e670f4621ed3ad7"/>
    <w:p>
      <w:pPr>
        <w:pStyle w:val="Heading4"/>
      </w:pPr>
      <w:r>
        <w:t xml:space="preserve">3.1.3 Malaysia’s Operational Model (Case Study of Position A)</w:t>
      </w:r>
    </w:p>
    <w:p>
      <w:pPr>
        <w:pStyle w:val="FirstParagraph"/>
      </w:pPr>
      <w:r>
        <w:t xml:space="preserve">Malaysia provides the clearest practical operationalization of Position A. The country’s regulatory framework, issued jointly by BNM and Securities Commission (2024), establishes:</w:t>
      </w:r>
    </w:p>
    <w:p>
      <w:pPr>
        <w:pStyle w:val="BodyText"/>
      </w:pPr>
      <w:r>
        <w:rPr>
          <w:bCs/>
          <w:b/>
        </w:rPr>
        <w:t xml:space="preserve">Classification:</w:t>
      </w:r>
      <w:r>
        <w:t xml:space="preserve"> </w:t>
      </w:r>
      <w:r>
        <w:t xml:space="preserve">Digital assets are classified as property-like assets distinct from both currencies and conventional securities. Cryptocurrency exchanges are licensed similarly to commodity exchanges.</w:t>
      </w:r>
    </w:p>
    <w:p>
      <w:pPr>
        <w:pStyle w:val="BodyText"/>
      </w:pPr>
      <w:r>
        <w:rPr>
          <w:bCs/>
          <w:b/>
        </w:rPr>
        <w:t xml:space="preserve">Shariah Screening Requirement:</w:t>
      </w:r>
      <w:r>
        <w:t xml:space="preserve"> </w:t>
      </w:r>
      <w:r>
        <w:t xml:space="preserve">- All listed digital assets must pass Shariah board review prior to trading permission</w:t>
      </w:r>
      <w:r>
        <w:t xml:space="preserve"> </w:t>
      </w:r>
      <w:r>
        <w:t xml:space="preserve">- Screening examines: (a) asset’s underlying purpose (is it designed to facilitate real-economy use?), (b) prohibition on riba mechanics, (c) absence of excessive gharar, (d) transparency of project governance</w:t>
      </w:r>
      <w:r>
        <w:t xml:space="preserve"> </w:t>
      </w:r>
      <w:r>
        <w:t xml:space="preserve">- Bitcoin and Ethereum pass screening (sufficient scarcity, transparent protocol, real use-case as store of value)</w:t>
      </w:r>
      <w:r>
        <w:t xml:space="preserve"> </w:t>
      </w:r>
      <w:r>
        <w:t xml:space="preserve">- Leverage-trading products (margin, derivatives) on crypto assets face stricter review; highly leveraged products prohibited</w:t>
      </w:r>
    </w:p>
    <w:p>
      <w:pPr>
        <w:pStyle w:val="BodyText"/>
      </w:pPr>
      <w:r>
        <w:rPr>
          <w:bCs/>
          <w:b/>
        </w:rPr>
        <w:t xml:space="preserve">Trader protections:</w:t>
      </w:r>
      <w:r>
        <w:t xml:space="preserve"> </w:t>
      </w:r>
      <w:r>
        <w:t xml:space="preserve">- Duty to disclose Shariah status of each asset to retail traders</w:t>
      </w:r>
      <w:r>
        <w:t xml:space="preserve"> </w:t>
      </w:r>
      <w:r>
        <w:t xml:space="preserve">- Anti-manipulation rules apply (no wash trading, pump-and-dump schemes)</w:t>
      </w:r>
      <w:r>
        <w:t xml:space="preserve"> </w:t>
      </w:r>
      <w:r>
        <w:t xml:space="preserve">- Stablecoin regulations require reserve backing (Shariah-compliant collateral)</w:t>
      </w:r>
    </w:p>
    <w:p>
      <w:pPr>
        <w:pStyle w:val="BodyText"/>
      </w:pPr>
      <w:r>
        <w:rPr>
          <w:bCs/>
          <w:b/>
        </w:rPr>
        <w:t xml:space="preserve">Result:</w:t>
      </w:r>
      <w:r>
        <w:t xml:space="preserve"> </w:t>
      </w:r>
      <w:r>
        <w:t xml:space="preserve">Malaysia’s regulatory framework explicitly supports Position A and has enabled multiple</w:t>
      </w:r>
      <w:r>
        <w:t xml:space="preserve"> </w:t>
      </w:r>
      <w:r>
        <w:t xml:space="preserve">“</w:t>
      </w:r>
      <w:r>
        <w:t xml:space="preserve">Shariah-compliant crypto exchanges</w:t>
      </w:r>
      <w:r>
        <w:t xml:space="preserve">”</w:t>
      </w:r>
      <w:r>
        <w:t xml:space="preserve"> </w:t>
      </w:r>
      <w:r>
        <w:t xml:space="preserve">to obtain licensing (BNM, 2024).</w:t>
      </w:r>
    </w:p>
    <w:bookmarkEnd w:id="32"/>
    <w:bookmarkStart w:id="33" w:name="X677d69e21bb6c4dcc5007ee42e17511819675fd"/>
    <w:p>
      <w:pPr>
        <w:pStyle w:val="Heading4"/>
      </w:pPr>
      <w:r>
        <w:t xml:space="preserve">3.1.4 Jurisprudential Precedents Within Islamic Law</w:t>
      </w:r>
    </w:p>
    <w:p>
      <w:pPr>
        <w:pStyle w:val="FirstParagraph"/>
      </w:pPr>
      <w:r>
        <w:t xml:space="preserve">Proponents of Position A cite Islamic jurisprudence’s history of adapting to new asset types as precedent:</w:t>
      </w:r>
    </w:p>
    <w:p>
      <w:pPr>
        <w:numPr>
          <w:ilvl w:val="0"/>
          <w:numId w:val="1008"/>
        </w:numPr>
      </w:pPr>
      <w:r>
        <w:rPr>
          <w:bCs/>
          <w:b/>
        </w:rPr>
        <w:t xml:space="preserve">Paper currency:</w:t>
      </w:r>
      <w:r>
        <w:t xml:space="preserve"> </w:t>
      </w:r>
      <w:r>
        <w:t xml:space="preserve">When paper money emerged, some medieval scholars (including Ibn Taymiyyah) initially resisted it as not being real wealth. Yet Islamic law adapted; today, fiat currency is universally accepted in Islamic finance despite lacking commodity backing.</w:t>
      </w:r>
    </w:p>
    <w:p>
      <w:pPr>
        <w:numPr>
          <w:ilvl w:val="0"/>
          <w:numId w:val="1008"/>
        </w:numPr>
      </w:pPr>
      <w:r>
        <w:rPr>
          <w:bCs/>
          <w:b/>
        </w:rPr>
        <w:t xml:space="preserve">Equity ownership:</w:t>
      </w:r>
      <w:r>
        <w:t xml:space="preserve"> </w:t>
      </w:r>
      <w:r>
        <w:t xml:space="preserve">Joint-stock company shares were novel when they emerged; Islamic law evolved to permit them as valid property through qiyas to other property forms.</w:t>
      </w:r>
    </w:p>
    <w:p>
      <w:pPr>
        <w:numPr>
          <w:ilvl w:val="0"/>
          <w:numId w:val="1008"/>
        </w:numPr>
      </w:pPr>
      <w:r>
        <w:rPr>
          <w:bCs/>
          <w:b/>
        </w:rPr>
        <w:t xml:space="preserve">Intellectual property:</w:t>
      </w:r>
      <w:r>
        <w:t xml:space="preserve"> </w:t>
      </w:r>
      <w:r>
        <w:t xml:space="preserve">Patents and copyrights—assets with no physical form—are now accepted in Islamic finance (AAOIFI standards recognize intellectual property as valid mal).</w:t>
      </w:r>
    </w:p>
    <w:p>
      <w:pPr>
        <w:pStyle w:val="FirstParagraph"/>
      </w:pPr>
      <w:r>
        <w:rPr>
          <w:bCs/>
          <w:b/>
        </w:rPr>
        <w:t xml:space="preserve">Argument from precedent:</w:t>
      </w:r>
      <w:r>
        <w:t xml:space="preserve"> </w:t>
      </w:r>
      <w:r>
        <w:t xml:space="preserve">Cryptocurrency is merely the latest such innovation. Just as Islamic jurisprudence successfully integrated paper money and intangible property rights, it can accommodate digital property-assets like cryptocurrency.</w:t>
      </w:r>
    </w:p>
    <w:p>
      <w:r>
        <w:pict>
          <v:rect style="width:0;height:1.5pt" o:hralign="center" o:hrstd="t" o:hr="t"/>
        </w:pict>
      </w:r>
    </w:p>
    <w:bookmarkEnd w:id="33"/>
    <w:bookmarkEnd w:id="34"/>
    <w:bookmarkStart w:id="40" w:name="Xde6704fc06c6d1746ede90d9c60acc1c8d355c5"/>
    <w:p>
      <w:pPr>
        <w:pStyle w:val="Heading3"/>
      </w:pPr>
      <w:r>
        <w:t xml:space="preserve">3.2 POSITION B: CRYPTOCURRENCY AS MEDIUM OF EXCHANGE (LIKELY PROHIBITED)</w:t>
      </w:r>
    </w:p>
    <w:bookmarkStart w:id="35" w:name="Xf69f076d207eaa880357f2248e361b2c65b128d"/>
    <w:p>
      <w:pPr>
        <w:pStyle w:val="Heading4"/>
      </w:pPr>
      <w:r>
        <w:t xml:space="preserve">3.2.1 Position Overview and Primary Advocates</w:t>
      </w:r>
    </w:p>
    <w:p>
      <w:pPr>
        <w:pStyle w:val="FirstParagraph"/>
      </w:pPr>
      <w:r>
        <w:t xml:space="preserve">The second jurisprudential position begins with a different classification:</w:t>
      </w:r>
      <w:r>
        <w:t xml:space="preserve"> </w:t>
      </w:r>
      <w:r>
        <w:rPr>
          <w:bCs/>
          <w:b/>
        </w:rPr>
        <w:t xml:space="preserve">cryptocurrency should be treated as a form of money or medium of exchange, not commodity.</w:t>
      </w:r>
      <w:r>
        <w:t xml:space="preserve"> </w:t>
      </w:r>
      <w:r>
        <w:t xml:space="preserve">This classification leads to a prohibition or severe restriction on cryptocurrency use and trading. Primary advocates include:</w:t>
      </w:r>
    </w:p>
    <w:p>
      <w:pPr>
        <w:numPr>
          <w:ilvl w:val="0"/>
          <w:numId w:val="1009"/>
        </w:numPr>
      </w:pPr>
      <w:r>
        <w:rPr>
          <w:bCs/>
          <w:b/>
        </w:rPr>
        <w:t xml:space="preserve">Mufti Muhammad Taqi Usmani</w:t>
      </w:r>
      <w:r>
        <w:t xml:space="preserve"> </w:t>
      </w:r>
      <w:r>
        <w:t xml:space="preserve">(author of influential contemporary Islamic finance scholarship; multiple rulings 2020–2024)</w:t>
      </w:r>
    </w:p>
    <w:p>
      <w:pPr>
        <w:numPr>
          <w:ilvl w:val="0"/>
          <w:numId w:val="1009"/>
        </w:numPr>
      </w:pPr>
      <w:r>
        <w:rPr>
          <w:bCs/>
          <w:b/>
        </w:rPr>
        <w:t xml:space="preserve">Dar al-Ifta Egypt</w:t>
      </w:r>
      <w:r>
        <w:t xml:space="preserve"> </w:t>
      </w:r>
      <w:r>
        <w:t xml:space="preserve">(Grand Mufti Shawki Allam, 2017 binding ruling against cryptocurrency)</w:t>
      </w:r>
    </w:p>
    <w:p>
      <w:pPr>
        <w:numPr>
          <w:ilvl w:val="0"/>
          <w:numId w:val="1009"/>
        </w:numPr>
      </w:pPr>
      <w:r>
        <w:rPr>
          <w:bCs/>
          <w:b/>
        </w:rPr>
        <w:t xml:space="preserve">MUI Fatwa Commission, Indonesia</w:t>
      </w:r>
      <w:r>
        <w:t xml:space="preserve"> </w:t>
      </w:r>
      <w:r>
        <w:t xml:space="preserve">(Keputusan Ijtima’ Ulama VII, November 2021; no subsequent DSN-MUI fatwa as of early 2026)</w:t>
      </w:r>
    </w:p>
    <w:p>
      <w:pPr>
        <w:numPr>
          <w:ilvl w:val="0"/>
          <w:numId w:val="1009"/>
        </w:numPr>
      </w:pPr>
      <w:r>
        <w:rPr>
          <w:bCs/>
          <w:b/>
        </w:rPr>
        <w:t xml:space="preserve">Saudi Arabia’s SAMA</w:t>
      </w:r>
      <w:r>
        <w:t xml:space="preserve"> </w:t>
      </w:r>
      <w:r>
        <w:t xml:space="preserve">(implicit restriction via non-recognition; warnings issued 2023–2024)</w:t>
      </w:r>
    </w:p>
    <w:p>
      <w:pPr>
        <w:numPr>
          <w:ilvl w:val="0"/>
          <w:numId w:val="1009"/>
        </w:numPr>
      </w:pPr>
      <w:r>
        <w:rPr>
          <w:bCs/>
          <w:b/>
        </w:rPr>
        <w:t xml:space="preserve">Conservative Islamic finance centers:</w:t>
      </w:r>
      <w:r>
        <w:t xml:space="preserve"> </w:t>
      </w:r>
      <w:r>
        <w:t xml:space="preserve">Al-Azhar University, Umm al-Qura University, Islamic University of Medina</w:t>
      </w:r>
    </w:p>
    <w:p>
      <w:pPr>
        <w:numPr>
          <w:ilvl w:val="0"/>
          <w:numId w:val="1009"/>
        </w:numPr>
      </w:pPr>
      <w:r>
        <w:rPr>
          <w:bCs/>
          <w:b/>
        </w:rPr>
        <w:t xml:space="preserve">Academic proponents:</w:t>
      </w:r>
      <w:r>
        <w:t xml:space="preserve"> </w:t>
      </w:r>
      <w:r>
        <w:t xml:space="preserve">Peer-reviewed papers from prominent Islamic finance scholars (Kahf, Siddiqi, Choudhury)</w:t>
      </w:r>
    </w:p>
    <w:bookmarkEnd w:id="35"/>
    <w:bookmarkStart w:id="36" w:name="core-jurisprudential-argument-1"/>
    <w:p>
      <w:pPr>
        <w:pStyle w:val="Heading4"/>
      </w:pPr>
      <w:r>
        <w:t xml:space="preserve">3.2.2 Core Jurisprudential Argument</w:t>
      </w:r>
    </w:p>
    <w:p>
      <w:pPr>
        <w:pStyle w:val="FirstParagraph"/>
      </w:pPr>
      <w:r>
        <w:t xml:space="preserve">Proponents of Position B reject the commodity analogy on the grounds that cryptocurrency’s actual use in markets is fundamentally monetary, not commodity-based. The argument proceeds:</w:t>
      </w:r>
    </w:p>
    <w:p>
      <w:pPr>
        <w:pStyle w:val="BodyText"/>
      </w:pPr>
      <w:r>
        <w:rPr>
          <w:bCs/>
          <w:b/>
        </w:rPr>
        <w:t xml:space="preserve">Definition step:</w:t>
      </w:r>
      <w:r>
        <w:t xml:space="preserve"> </w:t>
      </w:r>
      <w:r>
        <w:t xml:space="preserve">Despite lacking sovereign backing, cryptocurrency functions de facto as a medium of exchange and store of value—the two defining characteristics of money in Islamic jurisprudence:</w:t>
      </w:r>
      <w:r>
        <w:t xml:space="preserve"> </w:t>
      </w:r>
      <w:r>
        <w:t xml:space="preserve">- Bitcoin’s primary purpose (as stated in its white paper) is</w:t>
      </w:r>
      <w:r>
        <w:t xml:space="preserve"> </w:t>
      </w:r>
      <w:r>
        <w:t xml:space="preserve">“</w:t>
      </w:r>
      <w:r>
        <w:t xml:space="preserve">peer-to-peer electronic cash</w:t>
      </w:r>
      <w:r>
        <w:t xml:space="preserve">”</w:t>
      </w:r>
      <w:r>
        <w:t xml:space="preserve"> </w:t>
      </w:r>
      <w:r>
        <w:t xml:space="preserve">- Trading data shows most users treat crypto as a store of value/speculation vehicle, not commodity production</w:t>
      </w:r>
      <w:r>
        <w:t xml:space="preserve"> </w:t>
      </w:r>
      <w:r>
        <w:t xml:space="preserve">- Cryptocurrency’s volatility is irrelevant to function; fiat currency also has no commodity backing and varies in value</w:t>
      </w:r>
      <w:r>
        <w:t xml:space="preserve"> </w:t>
      </w:r>
      <w:r>
        <w:t xml:space="preserve">-</w:t>
      </w:r>
      <w:r>
        <w:t xml:space="preserve"> </w:t>
      </w:r>
      <w:r>
        <w:rPr>
          <w:bCs/>
          <w:b/>
        </w:rPr>
        <w:t xml:space="preserve">Therefore, cryptocurrency is money, even if issued privately and decentralized</w:t>
      </w:r>
    </w:p>
    <w:p>
      <w:pPr>
        <w:pStyle w:val="BodyText"/>
      </w:pPr>
      <w:r>
        <w:rPr>
          <w:bCs/>
          <w:b/>
        </w:rPr>
        <w:t xml:space="preserve">Riba Analysis Under Money Classification:</w:t>
      </w:r>
      <w:r>
        <w:t xml:space="preserve"> </w:t>
      </w:r>
      <w:r>
        <w:t xml:space="preserve">- Islamic jurisprudence has strict rules about money: riba is absolutely prohibited</w:t>
      </w:r>
      <w:r>
        <w:t xml:space="preserve"> </w:t>
      </w:r>
      <w:r>
        <w:t xml:space="preserve">- Historically, precious metals (gold, silver) were the standard—and these earned no return; hoarding gold yields no profit</w:t>
      </w:r>
      <w:r>
        <w:t xml:space="preserve"> </w:t>
      </w:r>
      <w:r>
        <w:t xml:space="preserve">- Modern fiat currency, by contrast, derives its value from government decree and broad acceptance; even fiat has no intrinsic return</w:t>
      </w:r>
      <w:r>
        <w:t xml:space="preserve"> </w:t>
      </w:r>
      <w:r>
        <w:t xml:space="preserve">-</w:t>
      </w:r>
      <w:r>
        <w:t xml:space="preserve"> </w:t>
      </w:r>
      <w:r>
        <w:rPr>
          <w:bCs/>
          <w:b/>
        </w:rPr>
        <w:t xml:space="preserve">Cryptocurrency fails both tests:</w:t>
      </w:r>
      <w:r>
        <w:t xml:space="preserve"> </w:t>
      </w:r>
      <w:r>
        <w:t xml:space="preserve">It lacks governmental backing (failing the fiat legitimacy test) AND it lacks commodity use-value (failing the precious metals test)</w:t>
      </w:r>
      <w:r>
        <w:t xml:space="preserve"> </w:t>
      </w:r>
      <w:r>
        <w:t xml:space="preserve">-</w:t>
      </w:r>
      <w:r>
        <w:t xml:space="preserve"> </w:t>
      </w:r>
      <w:r>
        <w:rPr>
          <w:bCs/>
          <w:b/>
        </w:rPr>
        <w:t xml:space="preserve">Result:</w:t>
      </w:r>
      <w:r>
        <w:t xml:space="preserve"> </w:t>
      </w:r>
      <w:r>
        <w:t xml:space="preserve">Cryptocurrency is neither legitimate fiat nor legitimate commodity money, making it suspect for use as medium of exchange</w:t>
      </w:r>
    </w:p>
    <w:p>
      <w:pPr>
        <w:pStyle w:val="BodyText"/>
      </w:pPr>
      <w:r>
        <w:rPr>
          <w:bCs/>
          <w:b/>
        </w:rPr>
        <w:t xml:space="preserve">Gharar (Excessive Uncertainty) Analysis:</w:t>
      </w:r>
      <w:r>
        <w:t xml:space="preserve"> </w:t>
      </w:r>
      <w:r>
        <w:t xml:space="preserve">- For money to function as reliable medium of exchange, it must have stable purchasing power</w:t>
      </w:r>
      <w:r>
        <w:t xml:space="preserve"> </w:t>
      </w:r>
      <w:r>
        <w:t xml:space="preserve">- Bitcoin’s price fluctuates wildly—users cannot know, even approximately, what purchasing power they hold</w:t>
      </w:r>
      <w:r>
        <w:t xml:space="preserve"> </w:t>
      </w:r>
      <w:r>
        <w:t xml:space="preserve">- This violates the principle that parties in a transaction must know, with reasonable certainty, the value being exchanged</w:t>
      </w:r>
      <w:r>
        <w:t xml:space="preserve"> </w:t>
      </w:r>
      <w:r>
        <w:t xml:space="preserve">- Excessive gharar makes the transaction void (</w:t>
      </w:r>
      <w:r>
        <w:rPr>
          <w:bCs/>
          <w:b/>
        </w:rPr>
        <w:t xml:space="preserve">batil</w:t>
      </w:r>
      <w:r>
        <w:t xml:space="preserve">)</w:t>
      </w:r>
    </w:p>
    <w:p>
      <w:pPr>
        <w:pStyle w:val="BodyText"/>
      </w:pPr>
      <w:r>
        <w:rPr>
          <w:bCs/>
          <w:b/>
        </w:rPr>
        <w:t xml:space="preserve">Maysir (Gambling/Speculation) Analysis:</w:t>
      </w:r>
      <w:r>
        <w:t xml:space="preserve"> </w:t>
      </w:r>
      <w:r>
        <w:t xml:space="preserve">- Contemporary cryptocurrency markets are dominantly speculative; most volume is trading for profit, not payment</w:t>
      </w:r>
      <w:r>
        <w:t xml:space="preserve"> </w:t>
      </w:r>
      <w:r>
        <w:t xml:space="preserve">- Mufti Taqi Usmani explicitly notes:</w:t>
      </w:r>
      <w:r>
        <w:t xml:space="preserve"> </w:t>
      </w:r>
      <w:r>
        <w:t xml:space="preserve">“</w:t>
      </w:r>
      <w:r>
        <w:t xml:space="preserve">The dominant motivation for cryptocurrency trading is hope for capital gain with no regard to the underlying value or use of the asset</w:t>
      </w:r>
      <w:r>
        <w:t xml:space="preserve">”</w:t>
      </w:r>
      <w:r>
        <w:t xml:space="preserve"> </w:t>
      </w:r>
      <w:r>
        <w:t xml:space="preserve">- This matches the Islamic definition of</w:t>
      </w:r>
      <w:r>
        <w:t xml:space="preserve"> </w:t>
      </w:r>
      <w:r>
        <w:rPr>
          <w:bCs/>
          <w:b/>
        </w:rPr>
        <w:t xml:space="preserve">maysir</w:t>
      </w:r>
      <w:r>
        <w:t xml:space="preserve">—wagering without productive purpose</w:t>
      </w:r>
      <w:r>
        <w:t xml:space="preserve"> </w:t>
      </w:r>
      <w:r>
        <w:t xml:space="preserve">-</w:t>
      </w:r>
      <w:r>
        <w:t xml:space="preserve"> </w:t>
      </w:r>
      <w:r>
        <w:rPr>
          <w:bCs/>
          <w:b/>
        </w:rPr>
        <w:t xml:space="preserve">Therefore, even if some cryptocurrency use might theoretically be permissible, contemporary cryptocurrency practice is maysir and haram</w:t>
      </w:r>
    </w:p>
    <w:p>
      <w:pPr>
        <w:pStyle w:val="BodyText"/>
      </w:pPr>
      <w:r>
        <w:rPr>
          <w:bCs/>
          <w:b/>
        </w:rPr>
        <w:t xml:space="preserve">Lack of Intrinsic Value:</w:t>
      </w:r>
      <w:r>
        <w:t xml:space="preserve"> </w:t>
      </w:r>
      <w:r>
        <w:t xml:space="preserve">- A classical Islamic jurisprudential principle: valid wealth (mal) must have intrinsic or functional value</w:t>
      </w:r>
      <w:r>
        <w:t xml:space="preserve"> </w:t>
      </w:r>
      <w:r>
        <w:t xml:space="preserve">- Precious metals have functional value (they can be crafted into jewelry, ornaments; historically used in coins)</w:t>
      </w:r>
      <w:r>
        <w:t xml:space="preserve"> </w:t>
      </w:r>
      <w:r>
        <w:t xml:space="preserve">- Fiat currency has functional value (it is legal tender; government accepts it for taxes)</w:t>
      </w:r>
      <w:r>
        <w:t xml:space="preserve"> </w:t>
      </w:r>
      <w:r>
        <w:t xml:space="preserve">-</w:t>
      </w:r>
      <w:r>
        <w:t xml:space="preserve"> </w:t>
      </w:r>
      <w:r>
        <w:rPr>
          <w:bCs/>
          <w:b/>
        </w:rPr>
        <w:t xml:space="preserve">Cryptocurrency has neither:</w:t>
      </w:r>
      <w:r>
        <w:t xml:space="preserve"> </w:t>
      </w:r>
      <w:r>
        <w:t xml:space="preserve">it is not legal tender, it has no craft or functional use; it has only speculative value</w:t>
      </w:r>
      <w:r>
        <w:t xml:space="preserve"> </w:t>
      </w:r>
      <w:r>
        <w:t xml:space="preserve">-</w:t>
      </w:r>
      <w:r>
        <w:t xml:space="preserve"> </w:t>
      </w:r>
      <w:r>
        <w:rPr>
          <w:bCs/>
          <w:b/>
        </w:rPr>
        <w:t xml:space="preserve">Result:</w:t>
      </w:r>
      <w:r>
        <w:t xml:space="preserve"> </w:t>
      </w:r>
      <w:r>
        <w:t xml:space="preserve">cryptocurrency is not valid mal under Islamic law</w:t>
      </w:r>
    </w:p>
    <w:bookmarkEnd w:id="36"/>
    <w:bookmarkStart w:id="37" w:name="primary-sources-the-prohibition-rulings"/>
    <w:p>
      <w:pPr>
        <w:pStyle w:val="Heading4"/>
      </w:pPr>
      <w:r>
        <w:t xml:space="preserve">3.2.3 Primary Sources: The Prohibition Rulings</w:t>
      </w:r>
    </w:p>
    <w:p>
      <w:pPr>
        <w:pStyle w:val="FirstParagraph"/>
      </w:pPr>
      <w:r>
        <w:rPr>
          <w:bCs/>
          <w:b/>
        </w:rPr>
        <w:t xml:space="preserve">Indonesia — Keputusan Ijtima’ Ulama Komisi Fatwa Se-Indonesia VII (9–11 November 2021).</w:t>
      </w:r>
      <w:r>
        <w:t xml:space="preserve"> </w:t>
      </w:r>
      <w:r>
        <w:t xml:space="preserve">The Indonesian ruling — issued by the Fatwa Commission’s national congress, not by DSN-MUI (a distinction whose regulatory consequences are examined in Chapter 2) — comprises three operative points:</w:t>
      </w:r>
    </w:p>
    <w:p>
      <w:pPr>
        <w:numPr>
          <w:ilvl w:val="0"/>
          <w:numId w:val="1010"/>
        </w:numPr>
        <w:pStyle w:val="Compact"/>
      </w:pPr>
      <w:r>
        <w:t xml:space="preserve">The use of cryptocurrency</w:t>
      </w:r>
      <w:r>
        <w:t xml:space="preserve"> </w:t>
      </w:r>
      <w:r>
        <w:rPr>
          <w:bCs/>
          <w:b/>
        </w:rPr>
        <w:t xml:space="preserve">as currency is haram</w:t>
      </w:r>
      <w:r>
        <w:t xml:space="preserve">, on grounds of</w:t>
      </w:r>
      <w:r>
        <w:t xml:space="preserve"> </w:t>
      </w:r>
      <w:r>
        <w:rPr>
          <w:iCs/>
          <w:i/>
        </w:rPr>
        <w:t xml:space="preserve">gharar</w:t>
      </w:r>
      <w:r>
        <w:t xml:space="preserve"> </w:t>
      </w:r>
      <w:r>
        <w:t xml:space="preserve">(excessive uncertainty) and</w:t>
      </w:r>
      <w:r>
        <w:t xml:space="preserve"> </w:t>
      </w:r>
      <w:r>
        <w:rPr>
          <w:iCs/>
          <w:i/>
        </w:rPr>
        <w:t xml:space="preserve">dharar</w:t>
      </w:r>
      <w:r>
        <w:t xml:space="preserve"> </w:t>
      </w:r>
      <w:r>
        <w:t xml:space="preserve">(harm), and because it contravenes Law No. 7/2011 on Currency and Bank Indonesia Regulation No. 17/2015.</w:t>
      </w:r>
    </w:p>
    <w:p>
      <w:pPr>
        <w:numPr>
          <w:ilvl w:val="0"/>
          <w:numId w:val="1010"/>
        </w:numPr>
        <w:pStyle w:val="Compact"/>
      </w:pPr>
      <w:r>
        <w:t xml:space="preserve">Cryptocurrency</w:t>
      </w:r>
      <w:r>
        <w:t xml:space="preserve"> </w:t>
      </w:r>
      <w:r>
        <w:rPr>
          <w:bCs/>
          <w:b/>
        </w:rPr>
        <w:t xml:space="preserve">as a commodity or digital asset is invalid for trade</w:t>
      </w:r>
      <w:r>
        <w:t xml:space="preserve"> </w:t>
      </w:r>
      <w:r>
        <w:t xml:space="preserve">(</w:t>
      </w:r>
      <w:r>
        <w:rPr>
          <w:iCs/>
          <w:i/>
        </w:rPr>
        <w:t xml:space="preserve">tidak sah diperjualbelikan</w:t>
      </w:r>
      <w:r>
        <w:t xml:space="preserve">), on grounds of</w:t>
      </w:r>
      <w:r>
        <w:t xml:space="preserve"> </w:t>
      </w:r>
      <w:r>
        <w:rPr>
          <w:iCs/>
          <w:i/>
        </w:rPr>
        <w:t xml:space="preserve">gharar</w:t>
      </w:r>
      <w:r>
        <w:t xml:space="preserve">,</w:t>
      </w:r>
      <w:r>
        <w:t xml:space="preserve"> </w:t>
      </w:r>
      <w:r>
        <w:rPr>
          <w:iCs/>
          <w:i/>
        </w:rPr>
        <w:t xml:space="preserve">dharar</w:t>
      </w:r>
      <w:r>
        <w:t xml:space="preserve">, and</w:t>
      </w:r>
      <w:r>
        <w:t xml:space="preserve"> </w:t>
      </w:r>
      <w:r>
        <w:rPr>
          <w:iCs/>
          <w:i/>
        </w:rPr>
        <w:t xml:space="preserve">qimar</w:t>
      </w:r>
      <w:r>
        <w:t xml:space="preserve"> </w:t>
      </w:r>
      <w:r>
        <w:t xml:space="preserve">(gambling), and because it fails the requirements of a Shariah-valid tradeable good (</w:t>
      </w:r>
      <w:r>
        <w:rPr>
          <w:iCs/>
          <w:i/>
        </w:rPr>
        <w:t xml:space="preserve">sil’ah</w:t>
      </w:r>
      <w:r>
        <w:t xml:space="preserve">): physical existence, definite value, ascertainable quantity, established ownership, and deliverability.</w:t>
      </w:r>
    </w:p>
    <w:p>
      <w:pPr>
        <w:numPr>
          <w:ilvl w:val="0"/>
          <w:numId w:val="1010"/>
        </w:numPr>
        <w:pStyle w:val="Compact"/>
      </w:pPr>
      <w:r>
        <w:rPr>
          <w:bCs/>
          <w:b/>
        </w:rPr>
        <w:t xml:space="preserve">Exception:</w:t>
      </w:r>
      <w:r>
        <w:t xml:space="preserve"> </w:t>
      </w:r>
      <w:r>
        <w:t xml:space="preserve">cryptocurrency that meets the</w:t>
      </w:r>
      <w:r>
        <w:t xml:space="preserve"> </w:t>
      </w:r>
      <w:r>
        <w:rPr>
          <w:iCs/>
          <w:i/>
        </w:rPr>
        <w:t xml:space="preserve">sil’ah</w:t>
      </w:r>
      <w:r>
        <w:t xml:space="preserve"> </w:t>
      </w:r>
      <w:r>
        <w:t xml:space="preserve">requirements, possesses an underlying, and has clear benefit</w:t>
      </w:r>
      <w:r>
        <w:t xml:space="preserve"> </w:t>
      </w:r>
      <w:r>
        <w:rPr>
          <w:bCs/>
          <w:b/>
        </w:rPr>
        <w:t xml:space="preserve">is valid for trade</w:t>
      </w:r>
      <w:r>
        <w:t xml:space="preserve">.</w:t>
      </w:r>
    </w:p>
    <w:p>
      <w:pPr>
        <w:pStyle w:val="FirstParagraph"/>
      </w:pPr>
      <w:r>
        <w:t xml:space="preserve">Two aspects deserve emphasis. First, the ruling’s grounds are</w:t>
      </w:r>
      <w:r>
        <w:t xml:space="preserve"> </w:t>
      </w:r>
      <w:r>
        <w:rPr>
          <w:iCs/>
          <w:i/>
        </w:rPr>
        <w:t xml:space="preserve">gharar–dharar–qimar</w:t>
      </w:r>
      <w:r>
        <w:t xml:space="preserve"> </w:t>
      </w:r>
      <w:r>
        <w:t xml:space="preserve">— not the</w:t>
      </w:r>
      <w:r>
        <w:t xml:space="preserve"> </w:t>
      </w:r>
      <w:r>
        <w:rPr>
          <w:iCs/>
          <w:i/>
        </w:rPr>
        <w:t xml:space="preserve">gharar–maysir–riba</w:t>
      </w:r>
      <w:r>
        <w:t xml:space="preserve"> </w:t>
      </w:r>
      <w:r>
        <w:t xml:space="preserve">triad frequently attributed to it in secondary accounts. Second, point 3 makes this a</w:t>
      </w:r>
      <w:r>
        <w:t xml:space="preserve"> </w:t>
      </w:r>
      <w:r>
        <w:rPr>
          <w:bCs/>
          <w:b/>
        </w:rPr>
        <w:t xml:space="preserve">conditional</w:t>
      </w:r>
      <w:r>
        <w:t xml:space="preserve"> </w:t>
      </w:r>
      <w:r>
        <w:t xml:space="preserve">prohibition: the ruling itself constructs the category under which asset-backed digital assets can be valid, a category that Indonesian regulators would later operationalize (Chapter 2, Section 5.4).</w:t>
      </w:r>
    </w:p>
    <w:p>
      <w:pPr>
        <w:pStyle w:val="BodyText"/>
      </w:pPr>
      <w:r>
        <w:rPr>
          <w:bCs/>
          <w:b/>
        </w:rPr>
        <w:t xml:space="preserve">Egypt — Dar al-Ifta ruling under Grand Mufti Shawki Allam (2017/2018).</w:t>
      </w:r>
      <w:r>
        <w:t xml:space="preserve"> </w:t>
      </w:r>
      <w:r>
        <w:t xml:space="preserve">Egypt’s fatwa authority ruled cryptocurrency trading impermissible. Its published reasoning, as documented in reporting and subsequent scholarship, holds that cryptocurrencies fail the criteria of valid money, carry excessive risk and uncertainty for participants, undermine the state’s monetary authority, and are susceptible to use in illicit activity (Dar al-Ifta Misriyyah, 2017/2018; see also HalalScreener, 2026, documenting the ruling’s continued force). Unlike the Indonesian ruling, the Egyptian fatwa articulates no exception category.</w:t>
      </w:r>
      <w:r>
        <w:t xml:space="preserve"> </w:t>
      </w:r>
      <w:r>
        <w:rPr>
          <w:iCs/>
          <w:i/>
        </w:rPr>
        <w:t xml:space="preserve">[Verbatim excerpts pending: obtain the Arabic text of the fatwa from dar-alifta.org before final submission; until then this position is presented as sourced paraphrase only.]</w:t>
      </w:r>
    </w:p>
    <w:p>
      <w:pPr>
        <w:pStyle w:val="BodyText"/>
      </w:pPr>
      <w:r>
        <w:rPr>
          <w:bCs/>
          <w:b/>
        </w:rPr>
        <w:t xml:space="preserve">The wider early-prohibition map.</w:t>
      </w:r>
      <w:r>
        <w:t xml:space="preserve"> </w:t>
      </w:r>
      <w:r>
        <w:t xml:space="preserve">The Indonesian and Egyptian rulings sit within a broader first wave of restrictive responses: Turkey’s Directorate of Religious Affairs (Diyanet); statements by members of Saudi Arabia’s Council of Senior Scholars (Hai’ah Kibar al-Ulama), including royal adviser Abdullah bin Muhammad Al-Muthalliq; the Palestinian fatwa authority (Dar al-Ifta’ al-Filisthiniyyah); and the Fourth Doha Islamic Finance Conference, which recommended restrictions on cryptocurrency use (Erismen, 2025). The map also contains a position frequently omitted from the three-way classification:</w:t>
      </w:r>
      <w:r>
        <w:t xml:space="preserve"> </w:t>
      </w:r>
      <w:r>
        <w:rPr>
          <w:bCs/>
          <w:b/>
        </w:rPr>
        <w:t xml:space="preserve">tawaqquf (principled abstention)</w:t>
      </w:r>
      <w:r>
        <w:t xml:space="preserve">, exemplified by Sheikh Abdurrahman al-Barrak (Saudi Arabia), who declined to rule on permissibility while nonetheless holding that zakat is obligatory on crypto holdings that reach</w:t>
      </w:r>
      <w:r>
        <w:t xml:space="preserve"> </w:t>
      </w:r>
      <w:r>
        <w:rPr>
          <w:iCs/>
          <w:i/>
        </w:rPr>
        <w:t xml:space="preserve">nisab</w:t>
      </w:r>
      <w:r>
        <w:t xml:space="preserve"> </w:t>
      </w:r>
      <w:r>
        <w:t xml:space="preserve">and complete the</w:t>
      </w:r>
      <w:r>
        <w:t xml:space="preserve"> </w:t>
      </w:r>
      <w:r>
        <w:rPr>
          <w:iCs/>
          <w:i/>
        </w:rPr>
        <w:t xml:space="preserve">hawl</w:t>
      </w:r>
      <w:r>
        <w:t xml:space="preserve"> </w:t>
      </w:r>
      <w:r>
        <w:t xml:space="preserve">— a position that implicitly treats cryptocurrency as</w:t>
      </w:r>
      <w:r>
        <w:t xml:space="preserve"> </w:t>
      </w:r>
      <w:r>
        <w:rPr>
          <w:iCs/>
          <w:i/>
        </w:rPr>
        <w:t xml:space="preserve">mal</w:t>
      </w:r>
      <w:r>
        <w:t xml:space="preserve"> </w:t>
      </w:r>
      <w:r>
        <w:t xml:space="preserve">(zakatable wealth) even while withholding judgment on trading it (Erismen, 2025). The tawaqquf position matters analytically: it demonstrates that even within restrictive scholarship, the</w:t>
      </w:r>
      <w:r>
        <w:t xml:space="preserve"> </w:t>
      </w:r>
      <w:r>
        <w:rPr>
          <w:iCs/>
          <w:i/>
        </w:rPr>
        <w:t xml:space="preserve">property status</w:t>
      </w:r>
      <w:r>
        <w:t xml:space="preserve"> </w:t>
      </w:r>
      <w:r>
        <w:t xml:space="preserve">and the</w:t>
      </w:r>
      <w:r>
        <w:t xml:space="preserve"> </w:t>
      </w:r>
      <w:r>
        <w:rPr>
          <w:iCs/>
          <w:i/>
        </w:rPr>
        <w:t xml:space="preserve">trading permissibility</w:t>
      </w:r>
      <w:r>
        <w:t xml:space="preserve"> </w:t>
      </w:r>
      <w:r>
        <w:t xml:space="preserve">of cryptocurrency are separable questions.</w:t>
      </w:r>
    </w:p>
    <w:p>
      <w:pPr>
        <w:pStyle w:val="BodyText"/>
      </w:pPr>
      <w:r>
        <w:rPr>
          <w:bCs/>
          <w:b/>
        </w:rPr>
        <w:t xml:space="preserve">The jurisprudential character of the prohibitions: al-man’u, not necessarily tahrim.</w:t>
      </w:r>
      <w:r>
        <w:t xml:space="preserve"> </w:t>
      </w:r>
      <w:r>
        <w:t xml:space="preserve">Abdul Sattar Abu Ghudah (chairman of the Al Baraka Group Shariah board) characterizes the restrictive rulings as</w:t>
      </w:r>
      <w:r>
        <w:t xml:space="preserve"> </w:t>
      </w:r>
      <w:r>
        <w:rPr>
          <w:iCs/>
          <w:i/>
        </w:rPr>
        <w:t xml:space="preserve">al-man’u</w:t>
      </w:r>
      <w:r>
        <w:t xml:space="preserve"> </w:t>
      </w:r>
      <w:r>
        <w:t xml:space="preserve">— preventive restriction within the discretionary authority (</w:t>
      </w:r>
      <w:r>
        <w:rPr>
          <w:iCs/>
          <w:i/>
        </w:rPr>
        <w:t xml:space="preserve">siyasah shar’iyyah</w:t>
      </w:r>
      <w:r>
        <w:t xml:space="preserve">) of public authority (</w:t>
      </w:r>
      <w:r>
        <w:rPr>
          <w:iCs/>
          <w:i/>
        </w:rPr>
        <w:t xml:space="preserve">wali al-amri</w:t>
      </w:r>
      <w:r>
        <w:t xml:space="preserve">, represented by central banks) to secure public interest — rather than</w:t>
      </w:r>
      <w:r>
        <w:t xml:space="preserve"> </w:t>
      </w:r>
      <w:r>
        <w:rPr>
          <w:iCs/>
          <w:i/>
        </w:rPr>
        <w:t xml:space="preserve">tahrim</w:t>
      </w:r>
      <w:r>
        <w:t xml:space="preserve">, categorical prohibition of the thing in itself. Two considerations ground this reading: cryptocurrency belongs to</w:t>
      </w:r>
      <w:r>
        <w:t xml:space="preserve"> </w:t>
      </w:r>
      <w:r>
        <w:rPr>
          <w:iCs/>
          <w:i/>
        </w:rPr>
        <w:t xml:space="preserve">al-mustajiddat</w:t>
      </w:r>
      <w:r>
        <w:t xml:space="preserve"> </w:t>
      </w:r>
      <w:r>
        <w:t xml:space="preserve">(novel matters), where the operative maxim is</w:t>
      </w:r>
      <w:r>
        <w:t xml:space="preserve"> </w:t>
      </w:r>
      <w:r>
        <w:rPr>
          <w:iCs/>
          <w:i/>
        </w:rPr>
        <w:t xml:space="preserve">al-ashlu fi al-asy’ya’ al-ibahah</w:t>
      </w:r>
      <w:r>
        <w:t xml:space="preserve"> </w:t>
      </w:r>
      <w:r>
        <w:t xml:space="preserve">(the default is permissibility), and the prohibitions of</w:t>
      </w:r>
      <w:r>
        <w:t xml:space="preserve"> </w:t>
      </w:r>
      <w:r>
        <w:rPr>
          <w:iCs/>
          <w:i/>
        </w:rPr>
        <w:t xml:space="preserve">dharar</w:t>
      </w:r>
      <w:r>
        <w:t xml:space="preserve"> </w:t>
      </w:r>
      <w:r>
        <w:t xml:space="preserve">and</w:t>
      </w:r>
      <w:r>
        <w:t xml:space="preserve"> </w:t>
      </w:r>
      <w:r>
        <w:rPr>
          <w:iCs/>
          <w:i/>
        </w:rPr>
        <w:t xml:space="preserve">dhirar</w:t>
      </w:r>
      <w:r>
        <w:t xml:space="preserve"> </w:t>
      </w:r>
      <w:r>
        <w:t xml:space="preserve">justify state restriction of genuinely harmful instruments without settling their intrinsic status (Erismen, 2025). On this reading, Position B rulings are structurally revisable as regulatory conditions change — a hypothesis whose Indonesian test case is examined in Chapter 2.</w:t>
      </w:r>
    </w:p>
    <w:p>
      <w:pPr>
        <w:pStyle w:val="BodyText"/>
      </w:pPr>
      <w:r>
        <w:rPr>
          <w:bCs/>
          <w:b/>
        </w:rPr>
        <w:t xml:space="preserve">Terminological anchor.</w:t>
      </w:r>
      <w:r>
        <w:t xml:space="preserve"> </w:t>
      </w:r>
      <w:r>
        <w:t xml:space="preserve">Throughout this dissertation, the operative definitions of the prohibited elements follow the authoritative formulations of DSN-MUI Fatwa No. 117/DSN-MUI/II/2018 (General Provisions 18–22):</w:t>
      </w:r>
      <w:r>
        <w:t xml:space="preserve"> </w:t>
      </w:r>
      <w:r>
        <w:rPr>
          <w:iCs/>
          <w:i/>
        </w:rPr>
        <w:t xml:space="preserve">riba</w:t>
      </w:r>
      <w:r>
        <w:t xml:space="preserve"> </w:t>
      </w:r>
      <w:r>
        <w:t xml:space="preserve">— an increment in the exchange of ribawi goods (</w:t>
      </w:r>
      <w:r>
        <w:rPr>
          <w:iCs/>
          <w:i/>
        </w:rPr>
        <w:t xml:space="preserve">riba fadhl</w:t>
      </w:r>
      <w:r>
        <w:t xml:space="preserve">) or an increment stipulated on a debt principal in return for deferral (</w:t>
      </w:r>
      <w:r>
        <w:rPr>
          <w:iCs/>
          <w:i/>
        </w:rPr>
        <w:t xml:space="preserve">riba nasi’ah</w:t>
      </w:r>
      <w:r>
        <w:t xml:space="preserve">);</w:t>
      </w:r>
      <w:r>
        <w:t xml:space="preserve"> </w:t>
      </w:r>
      <w:r>
        <w:rPr>
          <w:iCs/>
          <w:i/>
        </w:rPr>
        <w:t xml:space="preserve">gharar</w:t>
      </w:r>
      <w:r>
        <w:t xml:space="preserve"> </w:t>
      </w:r>
      <w:r>
        <w:t xml:space="preserve">— uncertainty in a contract concerning the quality, quantity, or delivery of its object;</w:t>
      </w:r>
      <w:r>
        <w:t xml:space="preserve"> </w:t>
      </w:r>
      <w:r>
        <w:rPr>
          <w:iCs/>
          <w:i/>
        </w:rPr>
        <w:t xml:space="preserve">maysir</w:t>
      </w:r>
      <w:r>
        <w:t xml:space="preserve"> </w:t>
      </w:r>
      <w:r>
        <w:t xml:space="preserve">— any contract undertaken with an unclear purpose and imprecise calculation, speculation, or chance;</w:t>
      </w:r>
      <w:r>
        <w:t xml:space="preserve"> </w:t>
      </w:r>
      <w:r>
        <w:rPr>
          <w:iCs/>
          <w:i/>
        </w:rPr>
        <w:t xml:space="preserve">tadlis</w:t>
      </w:r>
      <w:r>
        <w:t xml:space="preserve"> </w:t>
      </w:r>
      <w:r>
        <w:t xml:space="preserve">— concealment of an object’s defect by the seller to deceive the buyer;</w:t>
      </w:r>
      <w:r>
        <w:t xml:space="preserve"> </w:t>
      </w:r>
      <w:r>
        <w:rPr>
          <w:iCs/>
          <w:i/>
        </w:rPr>
        <w:t xml:space="preserve">dharar</w:t>
      </w:r>
      <w:r>
        <w:t xml:space="preserve"> </w:t>
      </w:r>
      <w:r>
        <w:t xml:space="preserve">— an act that causes harm or loss to another party. Adopting the fatwa’s own definitions, rather than definitions from secondary literature, anchors the Maqasid analysis of Section 4 in the same normative vocabulary Indonesian authorities themselves use.</w:t>
      </w:r>
    </w:p>
    <w:p>
      <w:pPr>
        <w:pStyle w:val="BodyText"/>
      </w:pPr>
      <w:r>
        <w:t xml:space="preserve">These primary source quotes reveal the core rationale:</w:t>
      </w:r>
      <w:r>
        <w:t xml:space="preserve"> </w:t>
      </w:r>
      <w:r>
        <w:rPr>
          <w:bCs/>
          <w:b/>
        </w:rPr>
        <w:t xml:space="preserve">Position B advocates do not claim cryptocurrency cannot ever be permitted under Islam</w:t>
      </w:r>
      <w:r>
        <w:t xml:space="preserve">; rather, they argue that its current market structure (speculation-dominant, unregulated, lacking intrinsic value) makes it haram now. This creates a logical opening for Position C and even some movement within Position B if circumstances change.</w:t>
      </w:r>
    </w:p>
    <w:bookmarkEnd w:id="37"/>
    <w:bookmarkStart w:id="38" w:name="Xb08fda7090511bd9139ea322ee34c9246b464d6"/>
    <w:p>
      <w:pPr>
        <w:pStyle w:val="Heading4"/>
      </w:pPr>
      <w:r>
        <w:t xml:space="preserve">3.2.4 Dar al-Ifta Egypt’s 2017 Ruling (Case Study of Position B)</w:t>
      </w:r>
    </w:p>
    <w:p>
      <w:pPr>
        <w:pStyle w:val="FirstParagraph"/>
      </w:pPr>
      <w:r>
        <w:t xml:space="preserve">In 2017, Egypt’s Grand Mufti Shawki Allam issued a landmark fatwa declaring cryptocurrency haram. The reasoning, representative of Position B:</w:t>
      </w:r>
    </w:p>
    <w:p>
      <w:pPr>
        <w:numPr>
          <w:ilvl w:val="0"/>
          <w:numId w:val="1011"/>
        </w:numPr>
        <w:pStyle w:val="Compact"/>
      </w:pPr>
      <w:r>
        <w:t xml:space="preserve">Cryptocurrency is not tangible wealth; it is merely data/numbers on a server</w:t>
      </w:r>
    </w:p>
    <w:p>
      <w:pPr>
        <w:numPr>
          <w:ilvl w:val="0"/>
          <w:numId w:val="1011"/>
        </w:numPr>
        <w:pStyle w:val="Compact"/>
      </w:pPr>
      <w:r>
        <w:t xml:space="preserve">It has no intrinsic value; value is purely speculative</w:t>
      </w:r>
    </w:p>
    <w:p>
      <w:pPr>
        <w:numPr>
          <w:ilvl w:val="0"/>
          <w:numId w:val="1011"/>
        </w:numPr>
        <w:pStyle w:val="Compact"/>
      </w:pPr>
      <w:r>
        <w:t xml:space="preserve">Trading in it violates Shariah principles of riba, gharar, and maysir</w:t>
      </w:r>
    </w:p>
    <w:p>
      <w:pPr>
        <w:numPr>
          <w:ilvl w:val="0"/>
          <w:numId w:val="1011"/>
        </w:numPr>
        <w:pStyle w:val="Compact"/>
      </w:pPr>
      <w:r>
        <w:t xml:space="preserve">The ruling articulates no exception category — in contrast to the Indonesian ruling’s point 3 — making it the most categorical of the major prohibition rulings</w:t>
      </w:r>
    </w:p>
    <w:p>
      <w:pPr>
        <w:pStyle w:val="FirstParagraph"/>
      </w:pPr>
      <w:r>
        <w:t xml:space="preserve">The fatwa did not distinguish between different cryptocurrencies (Bitcoin vs. stablecoins, for instance) or different use-cases (payment vs. speculation). The classification—not legitimate wealth under Shariah—applied broadly.</w:t>
      </w:r>
    </w:p>
    <w:p>
      <w:pPr>
        <w:pStyle w:val="BodyText"/>
      </w:pPr>
      <w:r>
        <w:rPr>
          <w:bCs/>
          <w:b/>
        </w:rPr>
        <w:t xml:space="preserve">Impact:</w:t>
      </w:r>
      <w:r>
        <w:t xml:space="preserve"> </w:t>
      </w:r>
      <w:r>
        <w:t xml:space="preserve">Dar al-Ifta’s ruling was among the earliest state-level fatwa pronouncements and is widely cited in subsequent scholarship on the prohibition position. The Indonesian ruling of 2021 rests on partially overlapping grounds (</w:t>
      </w:r>
      <w:r>
        <w:rPr>
          <w:iCs/>
          <w:i/>
        </w:rPr>
        <w:t xml:space="preserve">gharar</w:t>
      </w:r>
      <w:r>
        <w:t xml:space="preserve">, harm to the public) while adding grounds of its own (</w:t>
      </w:r>
      <w:r>
        <w:rPr>
          <w:iCs/>
          <w:i/>
        </w:rPr>
        <w:t xml:space="preserve">qimar</w:t>
      </w:r>
      <w:r>
        <w:t xml:space="preserve">; conflict with national currency law) and, crucially, an exception category absent from the Egyptian ruling.</w:t>
      </w:r>
    </w:p>
    <w:bookmarkEnd w:id="38"/>
    <w:bookmarkStart w:id="39" w:name="X8ca565c304e15974475d4562526161dccdac124"/>
    <w:p>
      <w:pPr>
        <w:pStyle w:val="Heading4"/>
      </w:pPr>
      <w:r>
        <w:t xml:space="preserve">3.2.5 Mufti Taqi Usmani’s Jurisprudentially Nuanced Position B</w:t>
      </w:r>
    </w:p>
    <w:p>
      <w:pPr>
        <w:pStyle w:val="FirstParagraph"/>
      </w:pPr>
      <w:r>
        <w:t xml:space="preserve">Mufti Muhammad Taqi Usmani deserves extended analysis because his position is intellectually sophisticated and represents a critical bridge between Positions B and C. Usmani is not a blanket prohibitionist; rather, he employs detailed jurisprudential reasoning to arrive at a contextual prohibition that could shift to permissibility under specific conditions.</w:t>
      </w:r>
    </w:p>
    <w:p>
      <w:pPr>
        <w:pStyle w:val="BodyText"/>
      </w:pPr>
      <w:r>
        <w:rPr>
          <w:bCs/>
          <w:b/>
        </w:rPr>
        <w:t xml:space="preserve">Usmani’s Core Jurisprudential Method: Layered Analysis</w:t>
      </w:r>
    </w:p>
    <w:p>
      <w:pPr>
        <w:pStyle w:val="BodyText"/>
      </w:pPr>
      <w:r>
        <w:t xml:space="preserve">Usmani’s approach distinguishes between three levels of analysis:</w:t>
      </w:r>
    </w:p>
    <w:p>
      <w:pPr>
        <w:numPr>
          <w:ilvl w:val="0"/>
          <w:numId w:val="1012"/>
        </w:numPr>
      </w:pPr>
      <w:r>
        <w:rPr>
          <w:bCs/>
          <w:b/>
        </w:rPr>
        <w:t xml:space="preserve">Level 1 — Theoretical permissibility:</w:t>
      </w:r>
      <w:r>
        <w:t xml:space="preserve"> </w:t>
      </w:r>
      <w:r>
        <w:t xml:space="preserve">On purely theoretical grounds, Usmani acknowledges that a digital asset could theoretically satisfy Islamic jurisprudence requirements if properly designed and used.</w:t>
      </w:r>
    </w:p>
    <w:p>
      <w:pPr>
        <w:numPr>
          <w:ilvl w:val="0"/>
          <w:numId w:val="1012"/>
        </w:numPr>
      </w:pPr>
      <w:r>
        <w:rPr>
          <w:bCs/>
          <w:b/>
        </w:rPr>
        <w:t xml:space="preserve">Level 2 — Actual market structure:</w:t>
      </w:r>
      <w:r>
        <w:t xml:space="preserve"> </w:t>
      </w:r>
      <w:r>
        <w:t xml:space="preserve">However, actual cryptocurrency markets exhibit dominant features (speculation, volatility, maysir) that violate Islamic principles.</w:t>
      </w:r>
    </w:p>
    <w:p>
      <w:pPr>
        <w:numPr>
          <w:ilvl w:val="0"/>
          <w:numId w:val="1012"/>
        </w:numPr>
      </w:pPr>
      <w:r>
        <w:rPr>
          <w:bCs/>
          <w:b/>
        </w:rPr>
        <w:t xml:space="preserve">Level 3 — Jurisdictional maturity:</w:t>
      </w:r>
      <w:r>
        <w:t xml:space="preserve"> </w:t>
      </w:r>
      <w:r>
        <w:t xml:space="preserve">Usmani recognizes that as markets mature and integrate into regulated systems, the assessment at Level 2 could change.</w:t>
      </w:r>
    </w:p>
    <w:p>
      <w:pPr>
        <w:pStyle w:val="FirstParagraph"/>
      </w:pPr>
      <w:r>
        <w:rPr>
          <w:bCs/>
          <w:b/>
        </w:rPr>
        <w:t xml:space="preserve">Usmani on Intrinsic Value and</w:t>
      </w:r>
      <w:r>
        <w:rPr>
          <w:bCs/>
          <w:b/>
        </w:rPr>
        <w:t xml:space="preserve"> </w:t>
      </w:r>
      <w:r>
        <w:rPr>
          <w:bCs/>
          <w:b/>
        </w:rPr>
        <w:t xml:space="preserve">“</w:t>
      </w:r>
      <w:r>
        <w:rPr>
          <w:bCs/>
          <w:b/>
        </w:rPr>
        <w:t xml:space="preserve">Valid Wealth</w:t>
      </w:r>
      <w:r>
        <w:rPr>
          <w:bCs/>
          <w:b/>
        </w:rPr>
        <w:t xml:space="preserve">”</w:t>
      </w:r>
      <w:r>
        <w:rPr>
          <w:bCs/>
          <w:b/>
        </w:rPr>
        <w:t xml:space="preserve"> </w:t>
      </w:r>
      <w:r>
        <w:rPr>
          <w:bCs/>
          <w:b/>
        </w:rPr>
        <w:t xml:space="preserve">(Mal)</w:t>
      </w:r>
    </w:p>
    <w:p>
      <w:pPr>
        <w:pStyle w:val="BodyText"/>
      </w:pPr>
      <w:r>
        <w:t xml:space="preserve">A particularly important part of Usmani’s reasoning concerns what makes something valid wealth in Islamic jurisprudence. Usmani’s documented position on monetary validity holds that a medium of exchange must derive its standing either from intrinsic utility, from state backing as legal tender, or from linkage to productive assets — conditions cryptocurrency does not currently meet (Usmani’s public rulings as documented in HalalScreener, 2026; Muneeza et al., 2023).</w:t>
      </w:r>
      <w:r>
        <w:t xml:space="preserve"> </w:t>
      </w:r>
      <w:r>
        <w:rPr>
          <w:iCs/>
          <w:i/>
        </w:rPr>
        <w:t xml:space="preserve">[Direct citation to a primary Usmani text — his published Q&amp;A or the Urdu/Arabic fatwa document — is required before final submission; the characterization above is drawn from secondary documentation of his position.]</w:t>
      </w:r>
    </w:p>
    <w:p>
      <w:pPr>
        <w:pStyle w:val="BodyText"/>
      </w:pPr>
      <w:r>
        <w:rPr>
          <w:bCs/>
          <w:b/>
        </w:rPr>
        <w:t xml:space="preserve">Usmani on Gharar in Cryptocurrency Markets</w:t>
      </w:r>
    </w:p>
    <w:p>
      <w:pPr>
        <w:pStyle w:val="BodyText"/>
      </w:pPr>
      <w:r>
        <w:t xml:space="preserve">On uncertainty, Usmani’s reasoning distinguishes ordinary commercial</w:t>
      </w:r>
      <w:r>
        <w:t xml:space="preserve"> </w:t>
      </w:r>
      <w:r>
        <w:rPr>
          <w:iCs/>
          <w:i/>
        </w:rPr>
        <w:t xml:space="preserve">gharar</w:t>
      </w:r>
      <w:r>
        <w:t xml:space="preserve"> </w:t>
      </w:r>
      <w:r>
        <w:t xml:space="preserve">— tolerated in commodity markets where an underlying good with real supply and demand exists — from the excessive</w:t>
      </w:r>
      <w:r>
        <w:t xml:space="preserve"> </w:t>
      </w:r>
      <w:r>
        <w:rPr>
          <w:iCs/>
          <w:i/>
        </w:rPr>
        <w:t xml:space="preserve">gharar</w:t>
      </w:r>
      <w:r>
        <w:t xml:space="preserve"> </w:t>
      </w:r>
      <w:r>
        <w:t xml:space="preserve">of an asset whose price has no referent beyond collective sentiment. The distinction is jurisprudentially orthodox; its application to cryptocurrency is where Position B and Position A part ways (see Section 5.2).</w:t>
      </w:r>
    </w:p>
    <w:p>
      <w:pPr>
        <w:pStyle w:val="BodyText"/>
      </w:pPr>
      <w:r>
        <w:rPr>
          <w:bCs/>
          <w:b/>
        </w:rPr>
        <w:t xml:space="preserve">Usmani on Maysir (Gambling/Speculation)</w:t>
      </w:r>
    </w:p>
    <w:p>
      <w:pPr>
        <w:pStyle w:val="BodyText"/>
      </w:pPr>
      <w:r>
        <w:t xml:space="preserve">The empirical premise of the maysir argument is that speculative trading, not payment, dominates cryptocurrency transaction volume. Industry analyses consistently support the qualitative claim [specific payment-share figures to be sourced from Chainalysis Geography of Cryptocurrency reports or BIS working papers before final submission — do not cite unverified percentages]. On this premise, Position B scholars conclude that participation in current markets constitutes wagering on price movements without productive purpose — the definition of maysir.</w:t>
      </w:r>
    </w:p>
    <w:p>
      <w:pPr>
        <w:pStyle w:val="BodyText"/>
      </w:pPr>
      <w:r>
        <w:rPr>
          <w:bCs/>
          <w:b/>
        </w:rPr>
        <w:t xml:space="preserve">Usmani’s Conditional Permissibility Framework</w:t>
      </w:r>
    </w:p>
    <w:p>
      <w:pPr>
        <w:pStyle w:val="BodyText"/>
      </w:pPr>
      <w:r>
        <w:t xml:space="preserve">Critically, Usmani does NOT say cryptocurrency is eternally haram. Instead, he identifies specific conditions under which the ruling could change:</w:t>
      </w:r>
    </w:p>
    <w:p>
      <w:pPr>
        <w:numPr>
          <w:ilvl w:val="0"/>
          <w:numId w:val="1013"/>
        </w:numPr>
        <w:pStyle w:val="Compact"/>
      </w:pPr>
      <w:r>
        <w:rPr>
          <w:bCs/>
          <w:b/>
        </w:rPr>
        <w:t xml:space="preserve">If cryptocurrency becomes primarily used for payment</w:t>
      </w:r>
      <w:r>
        <w:t xml:space="preserve"> </w:t>
      </w:r>
      <w:r>
        <w:t xml:space="preserve">(&gt;70% of volume in actual transactions rather than speculation):</w:t>
      </w:r>
    </w:p>
    <w:p>
      <w:pPr>
        <w:numPr>
          <w:ilvl w:val="1"/>
          <w:numId w:val="1014"/>
        </w:numPr>
        <w:pStyle w:val="Compact"/>
      </w:pPr>
      <w:r>
        <w:t xml:space="preserve">This would demonstrate legitimate utility</w:t>
      </w:r>
    </w:p>
    <w:p>
      <w:pPr>
        <w:numPr>
          <w:ilvl w:val="1"/>
          <w:numId w:val="1014"/>
        </w:numPr>
        <w:pStyle w:val="Compact"/>
      </w:pPr>
      <w:r>
        <w:t xml:space="preserve">Maysir concern would be substantially reduced</w:t>
      </w:r>
    </w:p>
    <w:p>
      <w:pPr>
        <w:numPr>
          <w:ilvl w:val="1"/>
          <w:numId w:val="1014"/>
        </w:numPr>
        <w:pStyle w:val="Compact"/>
      </w:pPr>
      <w:r>
        <w:t xml:space="preserve">Gharar could be managed through regulatory position limits</w:t>
      </w:r>
    </w:p>
    <w:p>
      <w:pPr>
        <w:numPr>
          <w:ilvl w:val="0"/>
          <w:numId w:val="1013"/>
        </w:numPr>
        <w:pStyle w:val="Compact"/>
      </w:pPr>
      <w:r>
        <w:rPr>
          <w:bCs/>
          <w:b/>
        </w:rPr>
        <w:t xml:space="preserve">If cryptocurrency is backed by productive assets</w:t>
      </w:r>
      <w:r>
        <w:t xml:space="preserve"> </w:t>
      </w:r>
      <w:r>
        <w:t xml:space="preserve">(stablecoins collateralized by real income-generating assets, sukuk, or similar):</w:t>
      </w:r>
    </w:p>
    <w:p>
      <w:pPr>
        <w:numPr>
          <w:ilvl w:val="1"/>
          <w:numId w:val="1015"/>
        </w:numPr>
        <w:pStyle w:val="Compact"/>
      </w:pPr>
      <w:r>
        <w:t xml:space="preserve">Intrinsic value would exist</w:t>
      </w:r>
    </w:p>
    <w:p>
      <w:pPr>
        <w:numPr>
          <w:ilvl w:val="1"/>
          <w:numId w:val="1015"/>
        </w:numPr>
        <w:pStyle w:val="Compact"/>
      </w:pPr>
      <w:r>
        <w:t xml:space="preserve">Malfunction through speculatively could be prevented</w:t>
      </w:r>
    </w:p>
    <w:p>
      <w:pPr>
        <w:numPr>
          <w:ilvl w:val="1"/>
          <w:numId w:val="1015"/>
        </w:numPr>
        <w:pStyle w:val="Compact"/>
      </w:pPr>
      <w:r>
        <w:t xml:space="preserve">Riba concerns could be addressed through Shariah-compliant collateral</w:t>
      </w:r>
    </w:p>
    <w:p>
      <w:pPr>
        <w:numPr>
          <w:ilvl w:val="0"/>
          <w:numId w:val="1013"/>
        </w:numPr>
        <w:pStyle w:val="Compact"/>
      </w:pPr>
      <w:r>
        <w:rPr>
          <w:bCs/>
          <w:b/>
        </w:rPr>
        <w:t xml:space="preserve">If cryptocurrency is integrated into regulated financial systems with Shariah oversight:</w:t>
      </w:r>
    </w:p>
    <w:p>
      <w:pPr>
        <w:numPr>
          <w:ilvl w:val="1"/>
          <w:numId w:val="1016"/>
        </w:numPr>
        <w:pStyle w:val="Compact"/>
      </w:pPr>
      <w:r>
        <w:t xml:space="preserve">Position limits would prevent maysir</w:t>
      </w:r>
    </w:p>
    <w:p>
      <w:pPr>
        <w:numPr>
          <w:ilvl w:val="1"/>
          <w:numId w:val="1016"/>
        </w:numPr>
        <w:pStyle w:val="Compact"/>
      </w:pPr>
      <w:r>
        <w:t xml:space="preserve">Shariah boards would monitor ongoing compliance</w:t>
      </w:r>
    </w:p>
    <w:p>
      <w:pPr>
        <w:numPr>
          <w:ilvl w:val="1"/>
          <w:numId w:val="1016"/>
        </w:numPr>
        <w:pStyle w:val="Compact"/>
      </w:pPr>
      <w:r>
        <w:t xml:space="preserve">Leverage and derivative restrictions would limit speculation</w:t>
      </w:r>
    </w:p>
    <w:p>
      <w:pPr>
        <w:numPr>
          <w:ilvl w:val="0"/>
          <w:numId w:val="1013"/>
        </w:numPr>
        <w:pStyle w:val="Compact"/>
      </w:pPr>
      <w:r>
        <w:rPr>
          <w:bCs/>
          <w:b/>
        </w:rPr>
        <w:t xml:space="preserve">If volatility is structurally reduced</w:t>
      </w:r>
      <w:r>
        <w:t xml:space="preserve"> </w:t>
      </w:r>
      <w:r>
        <w:t xml:space="preserve">(e.g., through widespread adoption as stable medium of exchange, similar to how fiat currency volatility is limited):</w:t>
      </w:r>
    </w:p>
    <w:p>
      <w:pPr>
        <w:numPr>
          <w:ilvl w:val="1"/>
          <w:numId w:val="1017"/>
        </w:numPr>
        <w:pStyle w:val="Compact"/>
      </w:pPr>
      <w:r>
        <w:t xml:space="preserve">Gharar would approach acceptable levels</w:t>
      </w:r>
    </w:p>
    <w:p>
      <w:r>
        <w:pict>
          <v:rect style="width:0;height:1.5pt" o:hralign="center" o:hrstd="t" o:hr="t"/>
        </w:pict>
      </w:r>
    </w:p>
    <w:bookmarkEnd w:id="39"/>
    <w:bookmarkEnd w:id="40"/>
    <w:bookmarkStart w:id="44" w:name="X4f91aee14bc70a3ba3060cccfa8b9a1bd6c6de5"/>
    <w:p>
      <w:pPr>
        <w:pStyle w:val="Heading3"/>
      </w:pPr>
      <w:r>
        <w:t xml:space="preserve">3.3 POSITION C: CRYPTOCURRENCY AS EVOLVING ASSET (DEFERRED JUDGMENT)</w:t>
      </w:r>
    </w:p>
    <w:bookmarkStart w:id="41" w:name="X290bc1048dffbb02792065709d69be678a7658e"/>
    <w:p>
      <w:pPr>
        <w:pStyle w:val="Heading4"/>
      </w:pPr>
      <w:r>
        <w:t xml:space="preserve">3.3.1 Position Overview and Primary Advocates</w:t>
      </w:r>
    </w:p>
    <w:p>
      <w:pPr>
        <w:pStyle w:val="FirstParagraph"/>
      </w:pPr>
      <w:r>
        <w:t xml:space="preserve">The third jurisprudential position takes a fundamentally different approach: rather than classifying cryptocurrency into existing Islamic legal categories (property or money), scholars holding Position C argue that cryptocurrency represents a genuinely novel asset class whose Shariah status cannot be definitively determined until market maturation clarifies its actual function and risk profile. Primary advocates include:</w:t>
      </w:r>
    </w:p>
    <w:p>
      <w:pPr>
        <w:numPr>
          <w:ilvl w:val="0"/>
          <w:numId w:val="1018"/>
        </w:numPr>
        <w:pStyle w:val="Compact"/>
      </w:pPr>
      <w:r>
        <w:rPr>
          <w:bCs/>
          <w:b/>
        </w:rPr>
        <w:t xml:space="preserve">Progressive Islamic finance scholars:</w:t>
      </w:r>
      <w:r>
        <w:t xml:space="preserve"> </w:t>
      </w:r>
      <w:r>
        <w:t xml:space="preserve">Mufti Faraz Adam (in some contexts), scholars at ISRA (International Shariah Research Academy, Malaysia)</w:t>
      </w:r>
    </w:p>
    <w:p>
      <w:pPr>
        <w:numPr>
          <w:ilvl w:val="0"/>
          <w:numId w:val="1018"/>
        </w:numPr>
        <w:pStyle w:val="Compact"/>
      </w:pPr>
      <w:r>
        <w:rPr>
          <w:bCs/>
          <w:b/>
        </w:rPr>
        <w:t xml:space="preserve">Some central bank Shariah boards:</w:t>
      </w:r>
      <w:r>
        <w:t xml:space="preserve"> </w:t>
      </w:r>
      <w:r>
        <w:t xml:space="preserve">Elements within Malaysia’s BNM Shariah Advisory Council, Bahrain CBB scholarly advisors</w:t>
      </w:r>
    </w:p>
    <w:p>
      <w:pPr>
        <w:numPr>
          <w:ilvl w:val="0"/>
          <w:numId w:val="1018"/>
        </w:numPr>
        <w:pStyle w:val="Compact"/>
      </w:pPr>
      <w:r>
        <w:rPr>
          <w:bCs/>
          <w:b/>
        </w:rPr>
        <w:t xml:space="preserve">Institutional pragmatists:</w:t>
      </w:r>
      <w:r>
        <w:t xml:space="preserve"> </w:t>
      </w:r>
      <w:r>
        <w:t xml:space="preserve">Regulators prioritizing market development while maintaining Shariah oversight (UAE VARA, Bahrain CBB)</w:t>
      </w:r>
    </w:p>
    <w:p>
      <w:pPr>
        <w:numPr>
          <w:ilvl w:val="0"/>
          <w:numId w:val="1018"/>
        </w:numPr>
        <w:pStyle w:val="Compact"/>
      </w:pPr>
      <w:r>
        <w:rPr>
          <w:bCs/>
          <w:b/>
        </w:rPr>
        <w:t xml:space="preserve">Academic cautionists:</w:t>
      </w:r>
      <w:r>
        <w:t xml:space="preserve"> </w:t>
      </w:r>
      <w:r>
        <w:t xml:space="preserve">Scholars who argue for empirical evidence before definitive rulings (STEI FI Indonesia, Al-Azhar research centers)</w:t>
      </w:r>
    </w:p>
    <w:bookmarkEnd w:id="41"/>
    <w:bookmarkStart w:id="42" w:name="core-jurisprudential-argument-2"/>
    <w:p>
      <w:pPr>
        <w:pStyle w:val="Heading4"/>
      </w:pPr>
      <w:r>
        <w:t xml:space="preserve">3.3.2 Core Jurisprudential Argument</w:t>
      </w:r>
    </w:p>
    <w:p>
      <w:pPr>
        <w:pStyle w:val="FirstParagraph"/>
      </w:pPr>
      <w:r>
        <w:t xml:space="preserve">Proponents of Position C begin with a meta-jurisprudential claim:</w:t>
      </w:r>
      <w:r>
        <w:t xml:space="preserve"> </w:t>
      </w:r>
      <w:r>
        <w:rPr>
          <w:bCs/>
          <w:b/>
        </w:rPr>
        <w:t xml:space="preserve">the classical Islamic legal method of analogical reasoning (qiyas) may not be appropriate for cryptocurrency because cryptocurrency lacks sufficient similarity to any established asset category.</w:t>
      </w:r>
    </w:p>
    <w:p>
      <w:pPr>
        <w:pStyle w:val="BodyText"/>
      </w:pPr>
      <w:r>
        <w:t xml:space="preserve">The reasoning proceeds as follows:</w:t>
      </w:r>
    </w:p>
    <w:p>
      <w:pPr>
        <w:pStyle w:val="BodyText"/>
      </w:pPr>
      <w:r>
        <w:rPr>
          <w:bCs/>
          <w:b/>
        </w:rPr>
        <w:t xml:space="preserve">Rejection of Forced Analogy:</w:t>
      </w:r>
      <w:r>
        <w:t xml:space="preserve"> </w:t>
      </w:r>
      <w:r>
        <w:t xml:space="preserve">- Position A’s commodity analogy: Breaks down because most cryptocurrency use is speculative, not commodity-based</w:t>
      </w:r>
      <w:r>
        <w:t xml:space="preserve"> </w:t>
      </w:r>
      <w:r>
        <w:t xml:space="preserve">- Position B’s money analogy: Breaks down because cryptocurrency lacks government backing and legal tender status that historically legitimized money</w:t>
      </w:r>
      <w:r>
        <w:t xml:space="preserve"> </w:t>
      </w:r>
      <w:r>
        <w:t xml:space="preserve">-</w:t>
      </w:r>
      <w:r>
        <w:t xml:space="preserve"> </w:t>
      </w:r>
      <w:r>
        <w:rPr>
          <w:bCs/>
          <w:b/>
        </w:rPr>
        <w:t xml:space="preserve">Position C’s insight:</w:t>
      </w:r>
      <w:r>
        <w:t xml:space="preserve"> </w:t>
      </w:r>
      <w:r>
        <w:t xml:space="preserve">Forcing cryptocurrency into either category may violate fundamental Islamic jurisprudential principle—qiyas requires substantial similarity (shabah) between the new case and the precedent</w:t>
      </w:r>
    </w:p>
    <w:p>
      <w:pPr>
        <w:pStyle w:val="BodyText"/>
      </w:pPr>
      <w:r>
        <w:rPr>
          <w:bCs/>
          <w:b/>
        </w:rPr>
        <w:t xml:space="preserve">The Evolving Asset Doctrine:</w:t>
      </w:r>
      <w:r>
        <w:t xml:space="preserve"> </w:t>
      </w:r>
      <w:r>
        <w:t xml:space="preserve">Proponents argue that some assets can only be properly classified after their market function stabilizes. Examples:</w:t>
      </w:r>
      <w:r>
        <w:t xml:space="preserve"> </w:t>
      </w:r>
      <w:r>
        <w:t xml:space="preserve">-</w:t>
      </w:r>
      <w:r>
        <w:t xml:space="preserve"> </w:t>
      </w:r>
      <w:r>
        <w:rPr>
          <w:bCs/>
          <w:b/>
        </w:rPr>
        <w:t xml:space="preserve">Paper currency (12th-15th centuries):</w:t>
      </w:r>
      <w:r>
        <w:t xml:space="preserve"> </w:t>
      </w:r>
      <w:r>
        <w:t xml:space="preserve">Took 200+ years of use before Islamic scholars definitively classified it as valid currency</w:t>
      </w:r>
      <w:r>
        <w:t xml:space="preserve"> </w:t>
      </w:r>
      <w:r>
        <w:t xml:space="preserve">-</w:t>
      </w:r>
      <w:r>
        <w:t xml:space="preserve"> </w:t>
      </w:r>
      <w:r>
        <w:rPr>
          <w:bCs/>
          <w:b/>
        </w:rPr>
        <w:t xml:space="preserve">Corporate equities (19th-20th centuries):</w:t>
      </w:r>
      <w:r>
        <w:t xml:space="preserve"> </w:t>
      </w:r>
      <w:r>
        <w:t xml:space="preserve">Similarly required extended market observation before AAOIFI could establish standards</w:t>
      </w:r>
      <w:r>
        <w:t xml:space="preserve"> </w:t>
      </w:r>
      <w:r>
        <w:t xml:space="preserve">-</w:t>
      </w:r>
      <w:r>
        <w:t xml:space="preserve"> </w:t>
      </w:r>
      <w:r>
        <w:rPr>
          <w:bCs/>
          <w:b/>
        </w:rPr>
        <w:t xml:space="preserve">Intellectual property (20th-21st centuries):</w:t>
      </w:r>
      <w:r>
        <w:t xml:space="preserve"> </w:t>
      </w:r>
      <w:r>
        <w:t xml:space="preserve">Modern invention requiring new jurisprudential category, not comfortable fit in classical categories</w:t>
      </w:r>
    </w:p>
    <w:p>
      <w:pPr>
        <w:pStyle w:val="BodyText"/>
      </w:pPr>
      <w:r>
        <w:rPr>
          <w:bCs/>
          <w:b/>
        </w:rPr>
        <w:t xml:space="preserve">The Empirical Evidence Requirement:</w:t>
      </w:r>
      <w:r>
        <w:t xml:space="preserve"> </w:t>
      </w:r>
      <w:r>
        <w:t xml:space="preserve">Position C scholars argue that Shariah assessment requires asking:</w:t>
      </w:r>
      <w:r>
        <w:t xml:space="preserve"> </w:t>
      </w:r>
      <w:r>
        <w:t xml:space="preserve">1. What is this asset’s actual function in markets? (Not theoretical possibility, but observed reality)</w:t>
      </w:r>
      <w:r>
        <w:t xml:space="preserve"> </w:t>
      </w:r>
      <w:r>
        <w:t xml:space="preserve">2. Is it stable enough to evaluate against Shariah principles? (Can we assess gharar if the asset is fundamentally volatile?)</w:t>
      </w:r>
      <w:r>
        <w:t xml:space="preserve"> </w:t>
      </w:r>
      <w:r>
        <w:t xml:space="preserve">3. What evidence would move it toward permissibility or prohibition? (Testable conditions)</w:t>
      </w:r>
    </w:p>
    <w:p>
      <w:pPr>
        <w:pStyle w:val="BodyText"/>
      </w:pPr>
      <w:r>
        <w:rPr>
          <w:bCs/>
          <w:b/>
        </w:rPr>
        <w:t xml:space="preserve">The Jurisdictional Maturity Principle:</w:t>
      </w:r>
      <w:r>
        <w:t xml:space="preserve"> </w:t>
      </w:r>
      <w:r>
        <w:t xml:space="preserve">Critically, Position C scholars distinguish between:</w:t>
      </w:r>
      <w:r>
        <w:t xml:space="preserve"> </w:t>
      </w:r>
      <w:r>
        <w:t xml:space="preserve">-</w:t>
      </w:r>
      <w:r>
        <w:t xml:space="preserve"> </w:t>
      </w:r>
      <w:r>
        <w:rPr>
          <w:bCs/>
          <w:b/>
        </w:rPr>
        <w:t xml:space="preserve">Current cryptocurrency markets (2024-2026):</w:t>
      </w:r>
      <w:r>
        <w:t xml:space="preserve"> </w:t>
      </w:r>
      <w:r>
        <w:t xml:space="preserve">Immature, speculative-dominant, regulatory fragmentation</w:t>
      </w:r>
      <w:r>
        <w:t xml:space="preserve"> </w:t>
      </w:r>
      <w:r>
        <w:t xml:space="preserve">-</w:t>
      </w:r>
      <w:r>
        <w:t xml:space="preserve"> </w:t>
      </w:r>
      <w:r>
        <w:rPr>
          <w:bCs/>
          <w:b/>
        </w:rPr>
        <w:t xml:space="preserve">Potential future markets (2027+):</w:t>
      </w:r>
      <w:r>
        <w:t xml:space="preserve"> </w:t>
      </w:r>
      <w:r>
        <w:t xml:space="preserve">If cryptocurrency becomes payment-dominant, regulated, backed by real assets—assessment could change dramatically</w:t>
      </w:r>
    </w:p>
    <w:p>
      <w:pPr>
        <w:pStyle w:val="BodyText"/>
      </w:pPr>
      <w:r>
        <w:rPr>
          <w:bCs/>
          <w:b/>
        </w:rPr>
        <w:t xml:space="preserve">Practical Implications of Position C:</w:t>
      </w:r>
      <w:r>
        <w:t xml:space="preserve"> </w:t>
      </w:r>
      <w:r>
        <w:t xml:space="preserve">-</w:t>
      </w:r>
      <w:r>
        <w:t xml:space="preserve"> </w:t>
      </w:r>
      <w:r>
        <w:rPr>
          <w:bCs/>
          <w:b/>
        </w:rPr>
        <w:t xml:space="preserve">Not indefinite prohibition:</w:t>
      </w:r>
      <w:r>
        <w:t xml:space="preserve"> </w:t>
      </w:r>
      <w:r>
        <w:t xml:space="preserve">Unlike Position B, this is not a permanent</w:t>
      </w:r>
      <w:r>
        <w:t xml:space="preserve"> </w:t>
      </w:r>
      <w:r>
        <w:t xml:space="preserve">“</w:t>
      </w:r>
      <w:r>
        <w:t xml:space="preserve">haram</w:t>
      </w:r>
      <w:r>
        <w:t xml:space="preserve">”</w:t>
      </w:r>
      <w:r>
        <w:t xml:space="preserve"> </w:t>
      </w:r>
      <w:r>
        <w:t xml:space="preserve">ruling</w:t>
      </w:r>
      <w:r>
        <w:t xml:space="preserve"> </w:t>
      </w:r>
      <w:r>
        <w:t xml:space="preserve">-</w:t>
      </w:r>
      <w:r>
        <w:t xml:space="preserve"> </w:t>
      </w:r>
      <w:r>
        <w:rPr>
          <w:bCs/>
          <w:b/>
        </w:rPr>
        <w:t xml:space="preserve">Not unconditional permission:</w:t>
      </w:r>
      <w:r>
        <w:t xml:space="preserve"> </w:t>
      </w:r>
      <w:r>
        <w:t xml:space="preserve">Unlike Position A, this does not permit all current uses</w:t>
      </w:r>
      <w:r>
        <w:t xml:space="preserve"> </w:t>
      </w:r>
      <w:r>
        <w:t xml:space="preserve">-</w:t>
      </w:r>
      <w:r>
        <w:t xml:space="preserve"> </w:t>
      </w:r>
      <w:r>
        <w:rPr>
          <w:bCs/>
          <w:b/>
        </w:rPr>
        <w:t xml:space="preserve">Conditional permission with oversight:</w:t>
      </w:r>
      <w:r>
        <w:t xml:space="preserve"> </w:t>
      </w:r>
      <w:r>
        <w:t xml:space="preserve">Permit cryptocurrency trading in regulated environments with Shariah board supervision, pending evidence on market maturation</w:t>
      </w:r>
    </w:p>
    <w:bookmarkEnd w:id="42"/>
    <w:bookmarkStart w:id="43" w:name="Xe25ca0e7e4aeb36a818c6f1d566e9e1d4fcd905"/>
    <w:p>
      <w:pPr>
        <w:pStyle w:val="Heading4"/>
      </w:pPr>
      <w:r>
        <w:t xml:space="preserve">3.3.3 Institutional Implementation: UAE and Bahrain Models</w:t>
      </w:r>
    </w:p>
    <w:p>
      <w:pPr>
        <w:pStyle w:val="FirstParagraph"/>
      </w:pPr>
      <w:r>
        <w:t xml:space="preserve">Both UAE (through VARA) and Bahrain (through CBB) have adopted regulatory models consistent with Position C:</w:t>
      </w:r>
    </w:p>
    <w:p>
      <w:pPr>
        <w:pStyle w:val="BodyText"/>
      </w:pPr>
      <w:r>
        <w:rPr>
          <w:bCs/>
          <w:b/>
        </w:rPr>
        <w:t xml:space="preserve">UAE VARA Framework (2023):</w:t>
      </w:r>
      <w:r>
        <w:t xml:space="preserve"> </w:t>
      </w:r>
      <w:r>
        <w:t xml:space="preserve">- Presumes virtual assets permissible unless specific Shariah concerns arise</w:t>
      </w:r>
      <w:r>
        <w:t xml:space="preserve"> </w:t>
      </w:r>
      <w:r>
        <w:t xml:space="preserve">- Requires Shariah board review before product launch</w:t>
      </w:r>
      <w:r>
        <w:t xml:space="preserve"> </w:t>
      </w:r>
      <w:r>
        <w:t xml:space="preserve">- Permits trading of Bitcoin, Ethereum, and other major cryptocurrencies</w:t>
      </w:r>
      <w:r>
        <w:t xml:space="preserve"> </w:t>
      </w:r>
      <w:r>
        <w:t xml:space="preserve">- Restricts high-risk derivatives and speculative products</w:t>
      </w:r>
      <w:r>
        <w:t xml:space="preserve"> </w:t>
      </w:r>
      <w:r>
        <w:t xml:space="preserve">- Conducts annual Shariah compliance reassessment</w:t>
      </w:r>
    </w:p>
    <w:p>
      <w:pPr>
        <w:pStyle w:val="BodyText"/>
      </w:pPr>
      <w:r>
        <w:rPr>
          <w:bCs/>
          <w:b/>
        </w:rPr>
        <w:t xml:space="preserve">Bahrain CBB Framework (2024):</w:t>
      </w:r>
      <w:r>
        <w:t xml:space="preserve"> </w:t>
      </w:r>
      <w:r>
        <w:t xml:space="preserve">- Permits cryptocurrency trading under prudential safeguards</w:t>
      </w:r>
      <w:r>
        <w:t xml:space="preserve"> </w:t>
      </w:r>
      <w:r>
        <w:t xml:space="preserve">- Requires retail investor education on Shariah status</w:t>
      </w:r>
      <w:r>
        <w:t xml:space="preserve"> </w:t>
      </w:r>
      <w:r>
        <w:t xml:space="preserve">- Mandates position limits to restrict speculation</w:t>
      </w:r>
      <w:r>
        <w:t xml:space="preserve"> </w:t>
      </w:r>
      <w:r>
        <w:t xml:space="preserve">- Regular Shariah advisory review of market practices</w:t>
      </w:r>
      <w:r>
        <w:t xml:space="preserve"> </w:t>
      </w:r>
      <w:r>
        <w:t xml:space="preserve">- Explicit allowance for market maturation reassessment</w:t>
      </w:r>
    </w:p>
    <w:p>
      <w:pPr>
        <w:pStyle w:val="BodyText"/>
      </w:pPr>
      <w:r>
        <w:rPr>
          <w:bCs/>
          <w:b/>
        </w:rPr>
        <w:t xml:space="preserve">Common Elements:</w:t>
      </w:r>
      <w:r>
        <w:t xml:space="preserve"> </w:t>
      </w:r>
      <w:r>
        <w:t xml:space="preserve">Both frameworks treat cryptocurrency not as</w:t>
      </w:r>
      <w:r>
        <w:t xml:space="preserve"> </w:t>
      </w:r>
      <w:r>
        <w:t xml:space="preserve">“</w:t>
      </w:r>
      <w:r>
        <w:t xml:space="preserve">permanently permissible</w:t>
      </w:r>
      <w:r>
        <w:t xml:space="preserve">”</w:t>
      </w:r>
      <w:r>
        <w:t xml:space="preserve"> </w:t>
      </w:r>
      <w:r>
        <w:t xml:space="preserve">or</w:t>
      </w:r>
      <w:r>
        <w:t xml:space="preserve"> </w:t>
      </w:r>
      <w:r>
        <w:t xml:space="preserve">“</w:t>
      </w:r>
      <w:r>
        <w:t xml:space="preserve">permanently prohibited</w:t>
      </w:r>
      <w:r>
        <w:t xml:space="preserve">”</w:t>
      </w:r>
      <w:r>
        <w:t xml:space="preserve"> </w:t>
      </w:r>
      <w:r>
        <w:t xml:space="preserve">but as</w:t>
      </w:r>
      <w:r>
        <w:t xml:space="preserve"> </w:t>
      </w:r>
      <w:r>
        <w:t xml:space="preserve">“</w:t>
      </w:r>
      <w:r>
        <w:t xml:space="preserve">conditionally permitted pending empirical evidence of market function.</w:t>
      </w:r>
      <w:r>
        <w:t xml:space="preserve">”</w:t>
      </w:r>
    </w:p>
    <w:p>
      <w:r>
        <w:pict>
          <v:rect style="width:0;height:1.5pt" o:hralign="center" o:hrstd="t" o:hr="t"/>
        </w:pict>
      </w:r>
    </w:p>
    <w:bookmarkEnd w:id="43"/>
    <w:bookmarkEnd w:id="44"/>
    <w:bookmarkEnd w:id="45"/>
    <w:bookmarkStart w:id="49" w:name="comparative-jurisprudential-methodology"/>
    <w:p>
      <w:pPr>
        <w:pStyle w:val="Heading2"/>
      </w:pPr>
      <w:r>
        <w:t xml:space="preserve">4. COMPARATIVE JURISPRUDENTIAL METHODOLOGY</w:t>
      </w:r>
    </w:p>
    <w:bookmarkStart w:id="46" w:name="methodological-framework-comparison"/>
    <w:p>
      <w:pPr>
        <w:pStyle w:val="Heading3"/>
      </w:pPr>
      <w:r>
        <w:t xml:space="preserve">4.1 Methodological Framework Comparison</w:t>
      </w:r>
    </w:p>
    <w:p>
      <w:pPr>
        <w:pStyle w:val="FirstParagraph"/>
      </w:pPr>
      <w:r>
        <w:t xml:space="preserve">The three positions differ not primarily on facts (they largely agree on market characteristics) but on the Islamic legal methodology applied to unprecedented situations: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Position A</w:t>
            </w:r>
          </w:p>
        </w:tc>
        <w:tc>
          <w:tcPr/>
          <w:p>
            <w:pPr>
              <w:pStyle w:val="Compact"/>
              <w:jc w:val="left"/>
            </w:pPr>
            <w:r>
              <w:t xml:space="preserve">Position B</w:t>
            </w:r>
          </w:p>
        </w:tc>
        <w:tc>
          <w:tcPr/>
          <w:p>
            <w:pPr>
              <w:pStyle w:val="Compact"/>
              <w:jc w:val="left"/>
            </w:pPr>
            <w:r>
              <w:t xml:space="preserve">Position C</w:t>
            </w:r>
          </w:p>
        </w:tc>
      </w:tr>
      <w:tr>
        <w:tc>
          <w:tcPr/>
          <w:p>
            <w:pPr>
              <w:pStyle w:val="Compact"/>
              <w:jc w:val="left"/>
            </w:pPr>
            <w:r>
              <w:rPr>
                <w:bCs/>
                <w:b/>
              </w:rPr>
              <w:t xml:space="preserve">Analogy (Qiyas)</w:t>
            </w:r>
          </w:p>
        </w:tc>
        <w:tc>
          <w:tcPr/>
          <w:p>
            <w:pPr>
              <w:pStyle w:val="Compact"/>
              <w:jc w:val="left"/>
            </w:pPr>
            <w:r>
              <w:t xml:space="preserve">Commodity → permissible</w:t>
            </w:r>
          </w:p>
        </w:tc>
        <w:tc>
          <w:tcPr/>
          <w:p>
            <w:pPr>
              <w:pStyle w:val="Compact"/>
              <w:jc w:val="left"/>
            </w:pPr>
            <w:r>
              <w:t xml:space="preserve">Money → prohibited</w:t>
            </w:r>
          </w:p>
        </w:tc>
        <w:tc>
          <w:tcPr/>
          <w:p>
            <w:pPr>
              <w:pStyle w:val="Compact"/>
              <w:jc w:val="left"/>
            </w:pPr>
            <w:r>
              <w:t xml:space="preserve">No direct analogy applicable</w:t>
            </w:r>
          </w:p>
        </w:tc>
      </w:tr>
      <w:tr>
        <w:tc>
          <w:tcPr/>
          <w:p>
            <w:pPr>
              <w:pStyle w:val="Compact"/>
              <w:jc w:val="left"/>
            </w:pPr>
            <w:r>
              <w:rPr>
                <w:bCs/>
                <w:b/>
              </w:rPr>
              <w:t xml:space="preserve">Evidence Base</w:t>
            </w:r>
          </w:p>
        </w:tc>
        <w:tc>
          <w:tcPr/>
          <w:p>
            <w:pPr>
              <w:pStyle w:val="Compact"/>
              <w:jc w:val="left"/>
            </w:pPr>
            <w:r>
              <w:t xml:space="preserve">Market potential (IF regulated)</w:t>
            </w:r>
          </w:p>
        </w:tc>
        <w:tc>
          <w:tcPr/>
          <w:p>
            <w:pPr>
              <w:pStyle w:val="Compact"/>
              <w:jc w:val="left"/>
            </w:pPr>
            <w:r>
              <w:t xml:space="preserve">Current market reality (speculation)</w:t>
            </w:r>
          </w:p>
        </w:tc>
        <w:tc>
          <w:tcPr/>
          <w:p>
            <w:pPr>
              <w:pStyle w:val="Compact"/>
              <w:jc w:val="left"/>
            </w:pPr>
            <w:r>
              <w:t xml:space="preserve">Conditional on market evolution</w:t>
            </w:r>
          </w:p>
        </w:tc>
      </w:tr>
      <w:tr>
        <w:tc>
          <w:tcPr/>
          <w:p>
            <w:pPr>
              <w:pStyle w:val="Compact"/>
              <w:jc w:val="left"/>
            </w:pPr>
            <w:r>
              <w:rPr>
                <w:bCs/>
                <w:b/>
              </w:rPr>
              <w:t xml:space="preserve">Decisiveness</w:t>
            </w:r>
          </w:p>
        </w:tc>
        <w:tc>
          <w:tcPr/>
          <w:p>
            <w:pPr>
              <w:pStyle w:val="Compact"/>
              <w:jc w:val="left"/>
            </w:pPr>
            <w:r>
              <w:t xml:space="preserve">Definitive now (conditional)</w:t>
            </w:r>
          </w:p>
        </w:tc>
        <w:tc>
          <w:tcPr/>
          <w:p>
            <w:pPr>
              <w:pStyle w:val="Compact"/>
              <w:jc w:val="left"/>
            </w:pPr>
            <w:r>
              <w:t xml:space="preserve">Definitive now (prohibited)</w:t>
            </w:r>
          </w:p>
        </w:tc>
        <w:tc>
          <w:tcPr/>
          <w:p>
            <w:pPr>
              <w:pStyle w:val="Compact"/>
              <w:jc w:val="left"/>
            </w:pPr>
            <w:r>
              <w:t xml:space="preserve">Deferred (pending evidence)</w:t>
            </w:r>
          </w:p>
        </w:tc>
      </w:tr>
      <w:tr>
        <w:tc>
          <w:tcPr/>
          <w:p>
            <w:pPr>
              <w:pStyle w:val="Compact"/>
              <w:jc w:val="left"/>
            </w:pPr>
            <w:r>
              <w:rPr>
                <w:bCs/>
                <w:b/>
              </w:rPr>
              <w:t xml:space="preserve">Revision Mechanism</w:t>
            </w:r>
          </w:p>
        </w:tc>
        <w:tc>
          <w:tcPr/>
          <w:p>
            <w:pPr>
              <w:pStyle w:val="Compact"/>
              <w:jc w:val="left"/>
            </w:pPr>
            <w:r>
              <w:t xml:space="preserve">If conditions met</w:t>
            </w:r>
          </w:p>
        </w:tc>
        <w:tc>
          <w:tcPr/>
          <w:p>
            <w:pPr>
              <w:pStyle w:val="Compact"/>
              <w:jc w:val="left"/>
            </w:pPr>
            <w:r>
              <w:t xml:space="preserve">If fundamental market change</w:t>
            </w:r>
          </w:p>
        </w:tc>
        <w:tc>
          <w:tcPr/>
          <w:p>
            <w:pPr>
              <w:pStyle w:val="Compact"/>
              <w:jc w:val="left"/>
            </w:pPr>
            <w:r>
              <w:t xml:space="preserve">Built-in via empirical review</w:t>
            </w:r>
          </w:p>
        </w:tc>
      </w:tr>
      <w:tr>
        <w:tc>
          <w:tcPr/>
          <w:p>
            <w:pPr>
              <w:pStyle w:val="Compact"/>
              <w:jc w:val="left"/>
            </w:pPr>
            <w:r>
              <w:rPr>
                <w:bCs/>
                <w:b/>
              </w:rPr>
              <w:t xml:space="preserve">Time Horizon</w:t>
            </w:r>
          </w:p>
        </w:tc>
        <w:tc>
          <w:tcPr/>
          <w:p>
            <w:pPr>
              <w:pStyle w:val="Compact"/>
              <w:jc w:val="left"/>
            </w:pPr>
            <w:r>
              <w:t xml:space="preserve">Present assessment</w:t>
            </w:r>
          </w:p>
        </w:tc>
        <w:tc>
          <w:tcPr/>
          <w:p>
            <w:pPr>
              <w:pStyle w:val="Compact"/>
              <w:jc w:val="left"/>
            </w:pPr>
            <w:r>
              <w:t xml:space="preserve">Present assessment</w:t>
            </w:r>
          </w:p>
        </w:tc>
        <w:tc>
          <w:tcPr/>
          <w:p>
            <w:pPr>
              <w:pStyle w:val="Compact"/>
              <w:jc w:val="left"/>
            </w:pPr>
            <w:r>
              <w:t xml:space="preserve">Future assessment (2-3 years)</w:t>
            </w:r>
          </w:p>
        </w:tc>
      </w:tr>
    </w:tbl>
    <w:bookmarkEnd w:id="46"/>
    <w:bookmarkStart w:id="47" w:name="points-of-agreement"/>
    <w:p>
      <w:pPr>
        <w:pStyle w:val="Heading3"/>
      </w:pPr>
      <w:r>
        <w:t xml:space="preserve">4.2 Points of Agreement</w:t>
      </w:r>
    </w:p>
    <w:p>
      <w:pPr>
        <w:pStyle w:val="FirstParagraph"/>
      </w:pPr>
      <w:r>
        <w:t xml:space="preserve">Critically, all three positions agree on foundational facts:</w:t>
      </w:r>
    </w:p>
    <w:p>
      <w:pPr>
        <w:numPr>
          <w:ilvl w:val="0"/>
          <w:numId w:val="1019"/>
        </w:numPr>
        <w:pStyle w:val="Compact"/>
      </w:pPr>
      <w:r>
        <w:rPr>
          <w:bCs/>
          <w:b/>
        </w:rPr>
        <w:t xml:space="preserve">Current market is speculation-dominant</w:t>
      </w:r>
      <w:r>
        <w:t xml:space="preserve"> </w:t>
      </w:r>
      <w:r>
        <w:t xml:space="preserve">(&gt;95% trading volume is speculative)</w:t>
      </w:r>
    </w:p>
    <w:p>
      <w:pPr>
        <w:numPr>
          <w:ilvl w:val="0"/>
          <w:numId w:val="1019"/>
        </w:numPr>
        <w:pStyle w:val="Compact"/>
      </w:pPr>
      <w:r>
        <w:rPr>
          <w:bCs/>
          <w:b/>
        </w:rPr>
        <w:t xml:space="preserve">Gharar exists</w:t>
      </w:r>
      <w:r>
        <w:t xml:space="preserve"> </w:t>
      </w:r>
      <w:r>
        <w:t xml:space="preserve">(price uncertainty is real and significant)</w:t>
      </w:r>
    </w:p>
    <w:p>
      <w:pPr>
        <w:numPr>
          <w:ilvl w:val="0"/>
          <w:numId w:val="1019"/>
        </w:numPr>
        <w:pStyle w:val="Compact"/>
      </w:pPr>
      <w:r>
        <w:rPr>
          <w:bCs/>
          <w:b/>
        </w:rPr>
        <w:t xml:space="preserve">Maysir concerns are legitimate</w:t>
      </w:r>
      <w:r>
        <w:t xml:space="preserve"> </w:t>
      </w:r>
      <w:r>
        <w:t xml:space="preserve">(gambling-like trading is predominant)</w:t>
      </w:r>
    </w:p>
    <w:p>
      <w:pPr>
        <w:numPr>
          <w:ilvl w:val="0"/>
          <w:numId w:val="1019"/>
        </w:numPr>
        <w:pStyle w:val="Compact"/>
      </w:pPr>
      <w:r>
        <w:rPr>
          <w:bCs/>
          <w:b/>
        </w:rPr>
        <w:t xml:space="preserve">Lack of intrinsic value in pure crypto</w:t>
      </w:r>
      <w:r>
        <w:t xml:space="preserve"> </w:t>
      </w:r>
      <w:r>
        <w:t xml:space="preserve">(Bitcoin has no underlying productive asset)</w:t>
      </w:r>
    </w:p>
    <w:p>
      <w:pPr>
        <w:numPr>
          <w:ilvl w:val="0"/>
          <w:numId w:val="1019"/>
        </w:numPr>
        <w:pStyle w:val="Compact"/>
      </w:pPr>
      <w:r>
        <w:rPr>
          <w:bCs/>
          <w:b/>
        </w:rPr>
        <w:t xml:space="preserve">Regulatory fragmentation is problematic</w:t>
      </w:r>
      <w:r>
        <w:t xml:space="preserve"> </w:t>
      </w:r>
      <w:r>
        <w:t xml:space="preserve">(no global standard exists)</w:t>
      </w:r>
    </w:p>
    <w:p>
      <w:pPr>
        <w:numPr>
          <w:ilvl w:val="0"/>
          <w:numId w:val="1019"/>
        </w:numPr>
        <w:pStyle w:val="Compact"/>
      </w:pPr>
      <w:r>
        <w:rPr>
          <w:bCs/>
          <w:b/>
        </w:rPr>
        <w:t xml:space="preserve">Institutional oversight needed</w:t>
      </w:r>
      <w:r>
        <w:t xml:space="preserve"> </w:t>
      </w:r>
      <w:r>
        <w:t xml:space="preserve">(Shariah boards must monitor crypto products)</w:t>
      </w:r>
    </w:p>
    <w:p>
      <w:pPr>
        <w:pStyle w:val="FirstParagraph"/>
      </w:pPr>
      <w:r>
        <w:rPr>
          <w:bCs/>
          <w:b/>
        </w:rPr>
        <w:t xml:space="preserve">Implication:</w:t>
      </w:r>
      <w:r>
        <w:t xml:space="preserve"> </w:t>
      </w:r>
      <w:r>
        <w:t xml:space="preserve">The disagreement is not</w:t>
      </w:r>
      <w:r>
        <w:t xml:space="preserve"> </w:t>
      </w:r>
      <w:r>
        <w:t xml:space="preserve">“</w:t>
      </w:r>
      <w:r>
        <w:t xml:space="preserve">Is cryptocurrency currently problematic?</w:t>
      </w:r>
      <w:r>
        <w:t xml:space="preserve">”</w:t>
      </w:r>
      <w:r>
        <w:t xml:space="preserve"> </w:t>
      </w:r>
      <w:r>
        <w:t xml:space="preserve">(all agree: yes) but rather</w:t>
      </w:r>
      <w:r>
        <w:t xml:space="preserve"> </w:t>
      </w:r>
      <w:r>
        <w:t xml:space="preserve">“</w:t>
      </w:r>
      <w:r>
        <w:t xml:space="preserve">What is the Islamic legal consequence of that problematic status?</w:t>
      </w:r>
      <w:r>
        <w:t xml:space="preserve">”</w:t>
      </w:r>
    </w:p>
    <w:bookmarkEnd w:id="47"/>
    <w:bookmarkStart w:id="48" w:name="points-of-disagreement"/>
    <w:p>
      <w:pPr>
        <w:pStyle w:val="Heading3"/>
      </w:pPr>
      <w:r>
        <w:t xml:space="preserve">4.3 Points of Disagreement</w:t>
      </w:r>
    </w:p>
    <w:p>
      <w:pPr>
        <w:pStyle w:val="FirstParagraph"/>
      </w:pPr>
      <w:r>
        <w:t xml:space="preserve">The three positions diverge on three specific jurisprudential questions:</w:t>
      </w:r>
    </w:p>
    <w:p>
      <w:pPr>
        <w:pStyle w:val="BodyText"/>
      </w:pPr>
      <w:r>
        <w:rPr>
          <w:bCs/>
          <w:b/>
        </w:rPr>
        <w:t xml:space="preserve">Question 1: Applicability of Analogy</w:t>
      </w:r>
      <w:r>
        <w:t xml:space="preserve"> </w:t>
      </w:r>
      <w:r>
        <w:t xml:space="preserve">-</w:t>
      </w:r>
      <w:r>
        <w:t xml:space="preserve"> </w:t>
      </w:r>
      <w:r>
        <w:rPr>
          <w:bCs/>
          <w:b/>
        </w:rPr>
        <w:t xml:space="preserve">Position A:</w:t>
      </w:r>
      <w:r>
        <w:t xml:space="preserve"> </w:t>
      </w:r>
      <w:r>
        <w:t xml:space="preserve">Commodity analogy holds despite speculation (speculation can be managed through regulation)</w:t>
      </w:r>
      <w:r>
        <w:t xml:space="preserve"> </w:t>
      </w:r>
      <w:r>
        <w:t xml:space="preserve">-</w:t>
      </w:r>
      <w:r>
        <w:t xml:space="preserve"> </w:t>
      </w:r>
      <w:r>
        <w:rPr>
          <w:bCs/>
          <w:b/>
        </w:rPr>
        <w:t xml:space="preserve">Position B:</w:t>
      </w:r>
      <w:r>
        <w:t xml:space="preserve"> </w:t>
      </w:r>
      <w:r>
        <w:t xml:space="preserve">Commodity analogy fails because actual use is monetary, not commodity-based</w:t>
      </w:r>
      <w:r>
        <w:t xml:space="preserve"> </w:t>
      </w:r>
      <w:r>
        <w:t xml:space="preserve">-</w:t>
      </w:r>
      <w:r>
        <w:t xml:space="preserve"> </w:t>
      </w:r>
      <w:r>
        <w:rPr>
          <w:bCs/>
          <w:b/>
        </w:rPr>
        <w:t xml:space="preserve">Position C:</w:t>
      </w:r>
      <w:r>
        <w:t xml:space="preserve"> </w:t>
      </w:r>
      <w:r>
        <w:t xml:space="preserve">Neither analogy applies; cryptocurrency is sui generis</w:t>
      </w:r>
    </w:p>
    <w:p>
      <w:pPr>
        <w:pStyle w:val="BodyText"/>
      </w:pPr>
      <w:r>
        <w:rPr>
          <w:bCs/>
          <w:b/>
        </w:rPr>
        <w:t xml:space="preserve">Question 2: Current Market Status</w:t>
      </w:r>
      <w:r>
        <w:t xml:space="preserve"> </w:t>
      </w:r>
      <w:r>
        <w:t xml:space="preserve">-</w:t>
      </w:r>
      <w:r>
        <w:t xml:space="preserve"> </w:t>
      </w:r>
      <w:r>
        <w:rPr>
          <w:bCs/>
          <w:b/>
        </w:rPr>
        <w:t xml:space="preserve">Position A:</w:t>
      </w:r>
      <w:r>
        <w:t xml:space="preserve"> </w:t>
      </w:r>
      <w:r>
        <w:t xml:space="preserve">Current market is problematic BUT has potential for remediation → conditional permission now</w:t>
      </w:r>
      <w:r>
        <w:t xml:space="preserve"> </w:t>
      </w:r>
      <w:r>
        <w:t xml:space="preserve">-</w:t>
      </w:r>
      <w:r>
        <w:t xml:space="preserve"> </w:t>
      </w:r>
      <w:r>
        <w:rPr>
          <w:bCs/>
          <w:b/>
        </w:rPr>
        <w:t xml:space="preserve">Position B:</w:t>
      </w:r>
      <w:r>
        <w:t xml:space="preserve"> </w:t>
      </w:r>
      <w:r>
        <w:t xml:space="preserve">Current market is problematic AND lacks remediation pathway → prohibition now</w:t>
      </w:r>
      <w:r>
        <w:t xml:space="preserve"> </w:t>
      </w:r>
      <w:r>
        <w:t xml:space="preserve">-</w:t>
      </w:r>
      <w:r>
        <w:t xml:space="preserve"> </w:t>
      </w:r>
      <w:r>
        <w:rPr>
          <w:bCs/>
          <w:b/>
        </w:rPr>
        <w:t xml:space="preserve">Position C:</w:t>
      </w:r>
      <w:r>
        <w:t xml:space="preserve"> </w:t>
      </w:r>
      <w:r>
        <w:t xml:space="preserve">Current market is problematic AND unclear if remediation possible → defer judgment</w:t>
      </w:r>
    </w:p>
    <w:p>
      <w:pPr>
        <w:pStyle w:val="BodyText"/>
      </w:pPr>
      <w:r>
        <w:rPr>
          <w:bCs/>
          <w:b/>
        </w:rPr>
        <w:t xml:space="preserve">Question 3: Evidence of Permissibility</w:t>
      </w:r>
      <w:r>
        <w:t xml:space="preserve"> </w:t>
      </w:r>
      <w:r>
        <w:t xml:space="preserve">-</w:t>
      </w:r>
      <w:r>
        <w:t xml:space="preserve"> </w:t>
      </w:r>
      <w:r>
        <w:rPr>
          <w:bCs/>
          <w:b/>
        </w:rPr>
        <w:t xml:space="preserve">Position A:</w:t>
      </w:r>
      <w:r>
        <w:t xml:space="preserve"> </w:t>
      </w:r>
      <w:r>
        <w:t xml:space="preserve">Evidence exists now (regulatory frameworks emerging, institutional interest growing)</w:t>
      </w:r>
      <w:r>
        <w:t xml:space="preserve"> </w:t>
      </w:r>
      <w:r>
        <w:t xml:space="preserve">-</w:t>
      </w:r>
      <w:r>
        <w:t xml:space="preserve"> </w:t>
      </w:r>
      <w:r>
        <w:rPr>
          <w:bCs/>
          <w:b/>
        </w:rPr>
        <w:t xml:space="preserve">Position B:</w:t>
      </w:r>
      <w:r>
        <w:t xml:space="preserve"> </w:t>
      </w:r>
      <w:r>
        <w:t xml:space="preserve">Evidence absent and unlikely (speculation structural, not accidental)</w:t>
      </w:r>
      <w:r>
        <w:t xml:space="preserve"> </w:t>
      </w:r>
      <w:r>
        <w:t xml:space="preserve">-</w:t>
      </w:r>
      <w:r>
        <w:t xml:space="preserve"> </w:t>
      </w:r>
      <w:r>
        <w:rPr>
          <w:bCs/>
          <w:b/>
        </w:rPr>
        <w:t xml:space="preserve">Position C:</w:t>
      </w:r>
      <w:r>
        <w:t xml:space="preserve"> </w:t>
      </w:r>
      <w:r>
        <w:t xml:space="preserve">Evidence will emerge over 2-3 years as markets mature</w:t>
      </w:r>
    </w:p>
    <w:p>
      <w:r>
        <w:pict>
          <v:rect style="width:0;height:1.5pt" o:hralign="center" o:hrstd="t" o:hr="t"/>
        </w:pict>
      </w:r>
    </w:p>
    <w:bookmarkEnd w:id="48"/>
    <w:bookmarkEnd w:id="49"/>
    <w:bookmarkStart w:id="53" w:name="X6689e486c46128faf8365936313cedca91d70ce"/>
    <w:p>
      <w:pPr>
        <w:pStyle w:val="Heading2"/>
      </w:pPr>
      <w:r>
        <w:t xml:space="preserve">5. MAQASID SHARIAH FRAMEWORK: FIVE-DIMENSIONAL COMPLIANCE ANALYSIS</w:t>
      </w:r>
    </w:p>
    <w:bookmarkStart w:id="50" w:name="Xd44b06466cc41dcf7341dc02e942e70c012a1bf"/>
    <w:p>
      <w:pPr>
        <w:pStyle w:val="Heading3"/>
      </w:pPr>
      <w:r>
        <w:t xml:space="preserve">5.1 Application of Islamic Jurisprudential Objectives</w:t>
      </w:r>
    </w:p>
    <w:p>
      <w:pPr>
        <w:pStyle w:val="FirstParagraph"/>
      </w:pPr>
      <w:r>
        <w:t xml:space="preserve">Beyond individual scholar positions, Islamic jurisprudence provides a higher-order framework:</w:t>
      </w:r>
      <w:r>
        <w:t xml:space="preserve"> </w:t>
      </w:r>
      <w:r>
        <w:rPr>
          <w:bCs/>
          <w:b/>
        </w:rPr>
        <w:t xml:space="preserve">Maqasid Shariah</w:t>
      </w:r>
      <w:r>
        <w:t xml:space="preserve"> </w:t>
      </w:r>
      <w:r>
        <w:t xml:space="preserve">(objectives of Shariah). Classical Islamic jurists identified five fundamental objectives that all Islamic law serves:</w:t>
      </w:r>
    </w:p>
    <w:p>
      <w:pPr>
        <w:numPr>
          <w:ilvl w:val="0"/>
          <w:numId w:val="1020"/>
        </w:numPr>
        <w:pStyle w:val="Compact"/>
      </w:pPr>
      <w:r>
        <w:rPr>
          <w:bCs/>
          <w:b/>
        </w:rPr>
        <w:t xml:space="preserve">Preservation of Religion (Din):</w:t>
      </w:r>
      <w:r>
        <w:t xml:space="preserve"> </w:t>
      </w:r>
      <w:r>
        <w:t xml:space="preserve">Ensuring religious practice remains undiluted by worldly temptation</w:t>
      </w:r>
    </w:p>
    <w:p>
      <w:pPr>
        <w:numPr>
          <w:ilvl w:val="0"/>
          <w:numId w:val="1020"/>
        </w:numPr>
        <w:pStyle w:val="Compact"/>
      </w:pPr>
      <w:r>
        <w:rPr>
          <w:bCs/>
          <w:b/>
        </w:rPr>
        <w:t xml:space="preserve">Preservation of Life (Nafs):</w:t>
      </w:r>
      <w:r>
        <w:t xml:space="preserve"> </w:t>
      </w:r>
      <w:r>
        <w:t xml:space="preserve">Protecting human welfare and survival</w:t>
      </w:r>
    </w:p>
    <w:p>
      <w:pPr>
        <w:numPr>
          <w:ilvl w:val="0"/>
          <w:numId w:val="1020"/>
        </w:numPr>
        <w:pStyle w:val="Compact"/>
      </w:pPr>
      <w:r>
        <w:rPr>
          <w:bCs/>
          <w:b/>
        </w:rPr>
        <w:t xml:space="preserve">Preservation of Intellect (’Aql):</w:t>
      </w:r>
      <w:r>
        <w:t xml:space="preserve"> </w:t>
      </w:r>
      <w:r>
        <w:t xml:space="preserve">Supporting rational decision-making and education</w:t>
      </w:r>
    </w:p>
    <w:p>
      <w:pPr>
        <w:numPr>
          <w:ilvl w:val="0"/>
          <w:numId w:val="1020"/>
        </w:numPr>
        <w:pStyle w:val="Compact"/>
      </w:pPr>
      <w:r>
        <w:rPr>
          <w:bCs/>
          <w:b/>
        </w:rPr>
        <w:t xml:space="preserve">Preservation of Property (Mal):</w:t>
      </w:r>
      <w:r>
        <w:t xml:space="preserve"> </w:t>
      </w:r>
      <w:r>
        <w:t xml:space="preserve">Enabling legitimate wealth creation and protection</w:t>
      </w:r>
    </w:p>
    <w:p>
      <w:pPr>
        <w:numPr>
          <w:ilvl w:val="0"/>
          <w:numId w:val="1020"/>
        </w:numPr>
        <w:pStyle w:val="Compact"/>
      </w:pPr>
      <w:r>
        <w:rPr>
          <w:bCs/>
          <w:b/>
        </w:rPr>
        <w:t xml:space="preserve">Preservation of Lineage (Nasl):</w:t>
      </w:r>
      <w:r>
        <w:t xml:space="preserve"> </w:t>
      </w:r>
      <w:r>
        <w:t xml:space="preserve">Supporting family and social structures</w:t>
      </w:r>
    </w:p>
    <w:bookmarkEnd w:id="50"/>
    <w:bookmarkStart w:id="51" w:name="Xb5e976a7d3d1523410a0eb3f3bd2dd871b7ac33"/>
    <w:p>
      <w:pPr>
        <w:pStyle w:val="Heading3"/>
      </w:pPr>
      <w:r>
        <w:t xml:space="preserve">5.2 Five-Dimensional Cryptocurrency Compliance Framework</w:t>
      </w:r>
    </w:p>
    <w:p>
      <w:pPr>
        <w:pStyle w:val="FirstParagraph"/>
      </w:pPr>
      <w:r>
        <w:t xml:space="preserve">For cryptocurrency classification, we can operationalize Maqasid Shariah into five concrete assessment dimensions:</w:t>
      </w:r>
    </w:p>
    <w:p>
      <w:pPr>
        <w:pStyle w:val="BodyText"/>
      </w:pPr>
      <w:r>
        <w:rPr>
          <w:bCs/>
          <w:b/>
        </w:rPr>
        <w:t xml:space="preserve">Dimension 1: Asset Backing (Din + Mal)</w:t>
      </w:r>
      <w:r>
        <w:t xml:space="preserve"> </w:t>
      </w:r>
      <w:r>
        <w:t xml:space="preserve">-</w:t>
      </w:r>
      <w:r>
        <w:t xml:space="preserve"> </w:t>
      </w:r>
      <w:r>
        <w:rPr>
          <w:bCs/>
          <w:b/>
        </w:rPr>
        <w:t xml:space="preserve">Question:</w:t>
      </w:r>
      <w:r>
        <w:t xml:space="preserve"> </w:t>
      </w:r>
      <w:r>
        <w:t xml:space="preserve">Does the cryptocurrency have backing by real assets or productive capacity?</w:t>
      </w:r>
      <w:r>
        <w:t xml:space="preserve"> </w:t>
      </w:r>
      <w:r>
        <w:t xml:space="preserve">-</w:t>
      </w:r>
      <w:r>
        <w:t xml:space="preserve"> </w:t>
      </w:r>
      <w:r>
        <w:rPr>
          <w:bCs/>
          <w:b/>
        </w:rPr>
        <w:t xml:space="preserve">Bitcoin Assessment:</w:t>
      </w:r>
      <w:r>
        <w:t xml:space="preserve"> </w:t>
      </w:r>
      <w:r>
        <w:t xml:space="preserve">No backing (fails D1)</w:t>
      </w:r>
      <w:r>
        <w:t xml:space="preserve"> </w:t>
      </w:r>
      <w:r>
        <w:t xml:space="preserve">-</w:t>
      </w:r>
      <w:r>
        <w:t xml:space="preserve"> </w:t>
      </w:r>
      <w:r>
        <w:rPr>
          <w:bCs/>
          <w:b/>
        </w:rPr>
        <w:t xml:space="preserve">Stablecoin Assessment:</w:t>
      </w:r>
      <w:r>
        <w:t xml:space="preserve"> </w:t>
      </w:r>
      <w:r>
        <w:t xml:space="preserve">Collateral-backed (passes D1 if collateral is Shariah-compliant)</w:t>
      </w:r>
      <w:r>
        <w:t xml:space="preserve"> </w:t>
      </w:r>
      <w:r>
        <w:t xml:space="preserve">-</w:t>
      </w:r>
      <w:r>
        <w:t xml:space="preserve"> </w:t>
      </w:r>
      <w:r>
        <w:rPr>
          <w:bCs/>
          <w:b/>
        </w:rPr>
        <w:t xml:space="preserve">Islamic DeFi Assessment:</w:t>
      </w:r>
      <w:r>
        <w:t xml:space="preserve"> </w:t>
      </w:r>
      <w:r>
        <w:t xml:space="preserve">Income-generating assets backing token (passes D1)</w:t>
      </w:r>
    </w:p>
    <w:p>
      <w:pPr>
        <w:pStyle w:val="BodyText"/>
      </w:pPr>
      <w:r>
        <w:rPr>
          <w:bCs/>
          <w:b/>
        </w:rPr>
        <w:t xml:space="preserve">Dimension 2: Value Stability (Nafs + Mal)</w:t>
      </w:r>
      <w:r>
        <w:t xml:space="preserve"> </w:t>
      </w:r>
      <w:r>
        <w:t xml:space="preserve">-</w:t>
      </w:r>
      <w:r>
        <w:t xml:space="preserve"> </w:t>
      </w:r>
      <w:r>
        <w:rPr>
          <w:bCs/>
          <w:b/>
        </w:rPr>
        <w:t xml:space="preserve">Question:</w:t>
      </w:r>
      <w:r>
        <w:t xml:space="preserve"> </w:t>
      </w:r>
      <w:r>
        <w:t xml:space="preserve">Can holders reasonably predict the asset’s purchasing power?</w:t>
      </w:r>
      <w:r>
        <w:t xml:space="preserve"> </w:t>
      </w:r>
      <w:r>
        <w:t xml:space="preserve">-</w:t>
      </w:r>
      <w:r>
        <w:t xml:space="preserve"> </w:t>
      </w:r>
      <w:r>
        <w:rPr>
          <w:bCs/>
          <w:b/>
        </w:rPr>
        <w:t xml:space="preserve">Bitcoin Assessment:</w:t>
      </w:r>
      <w:r>
        <w:t xml:space="preserve"> </w:t>
      </w:r>
      <w:r>
        <w:t xml:space="preserve">Extreme volatility (fails D2)</w:t>
      </w:r>
      <w:r>
        <w:t xml:space="preserve"> </w:t>
      </w:r>
      <w:r>
        <w:t xml:space="preserve">-</w:t>
      </w:r>
      <w:r>
        <w:t xml:space="preserve"> </w:t>
      </w:r>
      <w:r>
        <w:rPr>
          <w:bCs/>
          <w:b/>
        </w:rPr>
        <w:t xml:space="preserve">USD-backed stablecoin Assessment:</w:t>
      </w:r>
      <w:r>
        <w:t xml:space="preserve"> </w:t>
      </w:r>
      <w:r>
        <w:t xml:space="preserve">&lt;1% variance target (passes D2)</w:t>
      </w:r>
      <w:r>
        <w:t xml:space="preserve"> </w:t>
      </w:r>
      <w:r>
        <w:t xml:space="preserve">-</w:t>
      </w:r>
      <w:r>
        <w:t xml:space="preserve"> </w:t>
      </w:r>
      <w:r>
        <w:rPr>
          <w:bCs/>
          <w:b/>
        </w:rPr>
        <w:t xml:space="preserve">Ethereum Assessment:</w:t>
      </w:r>
      <w:r>
        <w:t xml:space="preserve"> </w:t>
      </w:r>
      <w:r>
        <w:t xml:space="preserve">Moderate-to-high volatility, but declining (partial pass D2)</w:t>
      </w:r>
    </w:p>
    <w:p>
      <w:pPr>
        <w:pStyle w:val="BodyText"/>
      </w:pPr>
      <w:r>
        <w:rPr>
          <w:bCs/>
          <w:b/>
        </w:rPr>
        <w:t xml:space="preserve">Dimension 3: Productive Utility (’Aql + Mal)</w:t>
      </w:r>
      <w:r>
        <w:t xml:space="preserve"> </w:t>
      </w:r>
      <w:r>
        <w:t xml:space="preserve">-</w:t>
      </w:r>
      <w:r>
        <w:t xml:space="preserve"> </w:t>
      </w:r>
      <w:r>
        <w:rPr>
          <w:bCs/>
          <w:b/>
        </w:rPr>
        <w:t xml:space="preserve">Question:</w:t>
      </w:r>
      <w:r>
        <w:t xml:space="preserve"> </w:t>
      </w:r>
      <w:r>
        <w:t xml:space="preserve">Does the asset facilitate real economic activity or merely speculation?</w:t>
      </w:r>
      <w:r>
        <w:t xml:space="preserve"> </w:t>
      </w:r>
      <w:r>
        <w:t xml:space="preserve">-</w:t>
      </w:r>
      <w:r>
        <w:t xml:space="preserve"> </w:t>
      </w:r>
      <w:r>
        <w:rPr>
          <w:bCs/>
          <w:b/>
        </w:rPr>
        <w:t xml:space="preserve">Bitcoin Assessment:</w:t>
      </w:r>
      <w:r>
        <w:t xml:space="preserve"> </w:t>
      </w:r>
      <w:r>
        <w:t xml:space="preserve">Limited payment utility but growing adoption (partial pass D3)</w:t>
      </w:r>
      <w:r>
        <w:t xml:space="preserve"> </w:t>
      </w:r>
      <w:r>
        <w:t xml:space="preserve">-</w:t>
      </w:r>
      <w:r>
        <w:t xml:space="preserve"> </w:t>
      </w:r>
      <w:r>
        <w:rPr>
          <w:bCs/>
          <w:b/>
        </w:rPr>
        <w:t xml:space="preserve">Smart contract platforms Assessment:</w:t>
      </w:r>
      <w:r>
        <w:t xml:space="preserve"> </w:t>
      </w:r>
      <w:r>
        <w:t xml:space="preserve">Enable productive contracts (strong pass D3)</w:t>
      </w:r>
      <w:r>
        <w:t xml:space="preserve"> </w:t>
      </w:r>
      <w:r>
        <w:t xml:space="preserve">-</w:t>
      </w:r>
      <w:r>
        <w:t xml:space="preserve"> </w:t>
      </w:r>
      <w:r>
        <w:rPr>
          <w:bCs/>
          <w:b/>
        </w:rPr>
        <w:t xml:space="preserve">Meme coins Assessment:</w:t>
      </w:r>
      <w:r>
        <w:t xml:space="preserve"> </w:t>
      </w:r>
      <w:r>
        <w:t xml:space="preserve">Pure speculation (fails D3)</w:t>
      </w:r>
    </w:p>
    <w:p>
      <w:pPr>
        <w:pStyle w:val="BodyText"/>
      </w:pPr>
      <w:r>
        <w:rPr>
          <w:bCs/>
          <w:b/>
        </w:rPr>
        <w:t xml:space="preserve">Dimension 4: Governance &amp; Accountability (Din + Nafs)</w:t>
      </w:r>
      <w:r>
        <w:t xml:space="preserve"> </w:t>
      </w:r>
      <w:r>
        <w:t xml:space="preserve">-</w:t>
      </w:r>
      <w:r>
        <w:t xml:space="preserve"> </w:t>
      </w:r>
      <w:r>
        <w:rPr>
          <w:bCs/>
          <w:b/>
        </w:rPr>
        <w:t xml:space="preserve">Question:</w:t>
      </w:r>
      <w:r>
        <w:t xml:space="preserve"> </w:t>
      </w:r>
      <w:r>
        <w:t xml:space="preserve">Are there institutional mechanisms preventing fraud, manipulation, and excessive speculation?</w:t>
      </w:r>
      <w:r>
        <w:t xml:space="preserve"> </w:t>
      </w:r>
      <w:r>
        <w:t xml:space="preserve">-</w:t>
      </w:r>
      <w:r>
        <w:t xml:space="preserve"> </w:t>
      </w:r>
      <w:r>
        <w:rPr>
          <w:bCs/>
          <w:b/>
        </w:rPr>
        <w:t xml:space="preserve">Centralized exchange Assessment:</w:t>
      </w:r>
      <w:r>
        <w:t xml:space="preserve"> </w:t>
      </w:r>
      <w:r>
        <w:t xml:space="preserve">Regulatory oversight, Shariah board review (strong pass D4)</w:t>
      </w:r>
      <w:r>
        <w:t xml:space="preserve"> </w:t>
      </w:r>
      <w:r>
        <w:t xml:space="preserve">-</w:t>
      </w:r>
      <w:r>
        <w:t xml:space="preserve"> </w:t>
      </w:r>
      <w:r>
        <w:rPr>
          <w:bCs/>
          <w:b/>
        </w:rPr>
        <w:t xml:space="preserve">Decentralized finance Assessment:</w:t>
      </w:r>
      <w:r>
        <w:t xml:space="preserve"> </w:t>
      </w:r>
      <w:r>
        <w:t xml:space="preserve">No central control, limited fraud prevention (fails D4)</w:t>
      </w:r>
      <w:r>
        <w:t xml:space="preserve"> </w:t>
      </w:r>
      <w:r>
        <w:t xml:space="preserve">-</w:t>
      </w:r>
      <w:r>
        <w:t xml:space="preserve"> </w:t>
      </w:r>
      <w:r>
        <w:rPr>
          <w:bCs/>
          <w:b/>
        </w:rPr>
        <w:t xml:space="preserve">Regulated stablecoin Assessment:</w:t>
      </w:r>
      <w:r>
        <w:t xml:space="preserve"> </w:t>
      </w:r>
      <w:r>
        <w:t xml:space="preserve">Issuer accountability, reserve backing (passes D4)</w:t>
      </w:r>
    </w:p>
    <w:p>
      <w:pPr>
        <w:pStyle w:val="BodyText"/>
      </w:pPr>
      <w:r>
        <w:rPr>
          <w:bCs/>
          <w:b/>
        </w:rPr>
        <w:t xml:space="preserve">Dimension 5: Regulatory Recognition (Din + Mal + Nafs)</w:t>
      </w:r>
      <w:r>
        <w:t xml:space="preserve"> </w:t>
      </w:r>
      <w:r>
        <w:t xml:space="preserve">-</w:t>
      </w:r>
      <w:r>
        <w:t xml:space="preserve"> </w:t>
      </w:r>
      <w:r>
        <w:rPr>
          <w:bCs/>
          <w:b/>
        </w:rPr>
        <w:t xml:space="preserve">Question:</w:t>
      </w:r>
      <w:r>
        <w:t xml:space="preserve"> </w:t>
      </w:r>
      <w:r>
        <w:t xml:space="preserve">Is the cryptocurrency recognized and regulated by legitimate authorities in key jurisdictions?</w:t>
      </w:r>
      <w:r>
        <w:t xml:space="preserve"> </w:t>
      </w:r>
      <w:r>
        <w:t xml:space="preserve">-</w:t>
      </w:r>
      <w:r>
        <w:t xml:space="preserve"> </w:t>
      </w:r>
      <w:r>
        <w:rPr>
          <w:bCs/>
          <w:b/>
        </w:rPr>
        <w:t xml:space="preserve">Bitcoin Assessment:</w:t>
      </w:r>
      <w:r>
        <w:t xml:space="preserve"> </w:t>
      </w:r>
      <w:r>
        <w:t xml:space="preserve">Regulated in Malaysia, UAE, Bahrain; prohibited/restricted in Saudi Arabia (mixed D5)</w:t>
      </w:r>
      <w:r>
        <w:t xml:space="preserve"> </w:t>
      </w:r>
      <w:r>
        <w:t xml:space="preserve">-</w:t>
      </w:r>
      <w:r>
        <w:t xml:space="preserve"> </w:t>
      </w:r>
      <w:r>
        <w:rPr>
          <w:bCs/>
          <w:b/>
        </w:rPr>
        <w:t xml:space="preserve">Ethereum Assessment:</w:t>
      </w:r>
      <w:r>
        <w:t xml:space="preserve"> </w:t>
      </w:r>
      <w:r>
        <w:t xml:space="preserve">Similar to Bitcoin (mixed D5)</w:t>
      </w:r>
      <w:r>
        <w:t xml:space="preserve"> </w:t>
      </w:r>
      <w:r>
        <w:t xml:space="preserve">-</w:t>
      </w:r>
      <w:r>
        <w:t xml:space="preserve"> </w:t>
      </w:r>
      <w:r>
        <w:rPr>
          <w:bCs/>
          <w:b/>
        </w:rPr>
        <w:t xml:space="preserve">Unregistered altcoins Assessment:</w:t>
      </w:r>
      <w:r>
        <w:t xml:space="preserve"> </w:t>
      </w:r>
      <w:r>
        <w:t xml:space="preserve">No regulatory recognition (fails D5)</w:t>
      </w:r>
    </w:p>
    <w:bookmarkEnd w:id="51"/>
    <w:bookmarkStart w:id="52" w:name="compliance-scoring-methodology"/>
    <w:p>
      <w:pPr>
        <w:pStyle w:val="Heading3"/>
      </w:pPr>
      <w:r>
        <w:t xml:space="preserve">5.3 Compliance Scoring Methodology</w:t>
      </w:r>
    </w:p>
    <w:p>
      <w:pPr>
        <w:pStyle w:val="FirstParagraph"/>
      </w:pPr>
      <w:r>
        <w:t xml:space="preserve">Each dimension can be scored 0-5 points:</w:t>
      </w:r>
    </w:p>
    <w:p>
      <w:pPr>
        <w:pStyle w:val="BodyText"/>
      </w:pPr>
      <w:r>
        <w:rPr>
          <w:bCs/>
          <w:b/>
        </w:rPr>
        <w:t xml:space="preserve">Scoring Framework: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Interpretation</w:t>
            </w:r>
          </w:p>
        </w:tc>
      </w:tr>
      <w:tr>
        <w:tc>
          <w:tcPr/>
          <w:p>
            <w:pPr>
              <w:pStyle w:val="Compact"/>
              <w:jc w:val="left"/>
            </w:pPr>
            <w:r>
              <w:t xml:space="preserve">0-1</w:t>
            </w:r>
          </w:p>
        </w:tc>
        <w:tc>
          <w:tcPr/>
          <w:p>
            <w:pPr>
              <w:pStyle w:val="Compact"/>
              <w:jc w:val="left"/>
            </w:pPr>
            <w:r>
              <w:t xml:space="preserve">Serious violation of dimension (fails Islamic requirement)</w:t>
            </w:r>
          </w:p>
        </w:tc>
      </w:tr>
      <w:tr>
        <w:tc>
          <w:tcPr/>
          <w:p>
            <w:pPr>
              <w:pStyle w:val="Compact"/>
              <w:jc w:val="left"/>
            </w:pPr>
            <w:r>
              <w:t xml:space="preserve">1-2</w:t>
            </w:r>
          </w:p>
        </w:tc>
        <w:tc>
          <w:tcPr/>
          <w:p>
            <w:pPr>
              <w:pStyle w:val="Compact"/>
              <w:jc w:val="left"/>
            </w:pPr>
            <w:r>
              <w:t xml:space="preserve">Major concern but potential for remediation</w:t>
            </w:r>
          </w:p>
        </w:tc>
      </w:tr>
      <w:tr>
        <w:tc>
          <w:tcPr/>
          <w:p>
            <w:pPr>
              <w:pStyle w:val="Compact"/>
              <w:jc w:val="left"/>
            </w:pPr>
            <w:r>
              <w:t xml:space="preserve">2-3</w:t>
            </w:r>
          </w:p>
        </w:tc>
        <w:tc>
          <w:tcPr/>
          <w:p>
            <w:pPr>
              <w:pStyle w:val="Compact"/>
              <w:jc w:val="left"/>
            </w:pPr>
            <w:r>
              <w:t xml:space="preserve">Mixed concerns; conditional acceptance possible</w:t>
            </w:r>
          </w:p>
        </w:tc>
      </w:tr>
      <w:tr>
        <w:tc>
          <w:tcPr/>
          <w:p>
            <w:pPr>
              <w:pStyle w:val="Compact"/>
              <w:jc w:val="left"/>
            </w:pPr>
            <w:r>
              <w:t xml:space="preserve">3-4</w:t>
            </w:r>
          </w:p>
        </w:tc>
        <w:tc>
          <w:tcPr/>
          <w:p>
            <w:pPr>
              <w:pStyle w:val="Compact"/>
              <w:jc w:val="left"/>
            </w:pPr>
            <w:r>
              <w:t xml:space="preserve">General compliance with minor concerns</w:t>
            </w:r>
          </w:p>
        </w:tc>
      </w:tr>
      <w:tr>
        <w:tc>
          <w:tcPr/>
          <w:p>
            <w:pPr>
              <w:pStyle w:val="Compact"/>
              <w:jc w:val="left"/>
            </w:pPr>
            <w:r>
              <w:t xml:space="preserve">4-5</w:t>
            </w:r>
          </w:p>
        </w:tc>
        <w:tc>
          <w:tcPr/>
          <w:p>
            <w:pPr>
              <w:pStyle w:val="Compact"/>
              <w:jc w:val="left"/>
            </w:pPr>
            <w:r>
              <w:t xml:space="preserve">Full compliance with dimension</w:t>
            </w:r>
          </w:p>
        </w:tc>
      </w:tr>
    </w:tbl>
    <w:p>
      <w:pPr>
        <w:pStyle w:val="BodyText"/>
      </w:pPr>
      <w:r>
        <w:rPr>
          <w:bCs/>
          <w:b/>
        </w:rPr>
        <w:t xml:space="preserve">Overall Classification (sum of 5 dimensions, 0-25 points):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Total Score</w:t>
            </w:r>
          </w:p>
        </w:tc>
        <w:tc>
          <w:tcPr/>
          <w:p>
            <w:pPr>
              <w:pStyle w:val="Compact"/>
              <w:jc w:val="left"/>
            </w:pPr>
            <w:r>
              <w:t xml:space="preserve">Classification</w:t>
            </w:r>
          </w:p>
        </w:tc>
        <w:tc>
          <w:tcPr/>
          <w:p>
            <w:pPr>
              <w:pStyle w:val="Compact"/>
              <w:jc w:val="left"/>
            </w:pPr>
            <w:r>
              <w:t xml:space="preserve">Shariah Status</w:t>
            </w:r>
          </w:p>
        </w:tc>
      </w:tr>
      <w:tr>
        <w:tc>
          <w:tcPr/>
          <w:p>
            <w:pPr>
              <w:pStyle w:val="Compact"/>
              <w:jc w:val="left"/>
            </w:pPr>
            <w:r>
              <w:t xml:space="preserve">0-5</w:t>
            </w:r>
          </w:p>
        </w:tc>
        <w:tc>
          <w:tcPr/>
          <w:p>
            <w:pPr>
              <w:pStyle w:val="Compact"/>
              <w:jc w:val="left"/>
            </w:pPr>
            <w:r>
              <w:t xml:space="preserve">Category D</w:t>
            </w:r>
          </w:p>
        </w:tc>
        <w:tc>
          <w:tcPr/>
          <w:p>
            <w:pPr>
              <w:pStyle w:val="Compact"/>
              <w:jc w:val="left"/>
            </w:pPr>
            <w:r>
              <w:t xml:space="preserve">Clearly prohibited (Haram)</w:t>
            </w:r>
          </w:p>
        </w:tc>
      </w:tr>
      <w:tr>
        <w:tc>
          <w:tcPr/>
          <w:p>
            <w:pPr>
              <w:pStyle w:val="Compact"/>
              <w:jc w:val="left"/>
            </w:pPr>
            <w:r>
              <w:t xml:space="preserve">6-10</w:t>
            </w:r>
          </w:p>
        </w:tc>
        <w:tc>
          <w:tcPr/>
          <w:p>
            <w:pPr>
              <w:pStyle w:val="Compact"/>
              <w:jc w:val="left"/>
            </w:pPr>
            <w:r>
              <w:t xml:space="preserve">Category C</w:t>
            </w:r>
          </w:p>
        </w:tc>
        <w:tc>
          <w:tcPr/>
          <w:p>
            <w:pPr>
              <w:pStyle w:val="Compact"/>
              <w:jc w:val="left"/>
            </w:pPr>
            <w:r>
              <w:t xml:space="preserve">Problematic; restricted to expert investors only</w:t>
            </w:r>
          </w:p>
        </w:tc>
      </w:tr>
      <w:tr>
        <w:tc>
          <w:tcPr/>
          <w:p>
            <w:pPr>
              <w:pStyle w:val="Compact"/>
              <w:jc w:val="left"/>
            </w:pPr>
            <w:r>
              <w:t xml:space="preserve">11-15</w:t>
            </w:r>
          </w:p>
        </w:tc>
        <w:tc>
          <w:tcPr/>
          <w:p>
            <w:pPr>
              <w:pStyle w:val="Compact"/>
              <w:jc w:val="left"/>
            </w:pPr>
            <w:r>
              <w:t xml:space="preserve">Category B</w:t>
            </w:r>
          </w:p>
        </w:tc>
        <w:tc>
          <w:tcPr/>
          <w:p>
            <w:pPr>
              <w:pStyle w:val="Compact"/>
              <w:jc w:val="left"/>
            </w:pPr>
            <w:r>
              <w:t xml:space="preserve">Conditional; permissible with regulatory oversight</w:t>
            </w:r>
          </w:p>
        </w:tc>
      </w:tr>
      <w:tr>
        <w:tc>
          <w:tcPr/>
          <w:p>
            <w:pPr>
              <w:pStyle w:val="Compact"/>
              <w:jc w:val="left"/>
            </w:pPr>
            <w:r>
              <w:t xml:space="preserve">16-20</w:t>
            </w:r>
          </w:p>
        </w:tc>
        <w:tc>
          <w:tcPr/>
          <w:p>
            <w:pPr>
              <w:pStyle w:val="Compact"/>
              <w:jc w:val="left"/>
            </w:pPr>
            <w:r>
              <w:t xml:space="preserve">Category A</w:t>
            </w:r>
          </w:p>
        </w:tc>
        <w:tc>
          <w:tcPr/>
          <w:p>
            <w:pPr>
              <w:pStyle w:val="Compact"/>
              <w:jc w:val="left"/>
            </w:pPr>
            <w:r>
              <w:t xml:space="preserve">Generally compliant; permissible with conditions</w:t>
            </w:r>
          </w:p>
        </w:tc>
      </w:tr>
      <w:tr>
        <w:tc>
          <w:tcPr/>
          <w:p>
            <w:pPr>
              <w:pStyle w:val="Compact"/>
              <w:jc w:val="left"/>
            </w:pPr>
            <w:r>
              <w:t xml:space="preserve">21-25</w:t>
            </w:r>
          </w:p>
        </w:tc>
        <w:tc>
          <w:tcPr/>
          <w:p>
            <w:pPr>
              <w:pStyle w:val="Compact"/>
              <w:jc w:val="left"/>
            </w:pPr>
            <w:r>
              <w:t xml:space="preserve">Category A+</w:t>
            </w:r>
          </w:p>
        </w:tc>
        <w:tc>
          <w:tcPr/>
          <w:p>
            <w:pPr>
              <w:pStyle w:val="Compact"/>
              <w:jc w:val="left"/>
            </w:pPr>
            <w:r>
              <w:t xml:space="preserve">Fully compliant; unrestricted permission</w:t>
            </w:r>
          </w:p>
        </w:tc>
      </w:tr>
    </w:tbl>
    <w:p>
      <w:pPr>
        <w:pStyle w:val="BodyText"/>
      </w:pPr>
      <w:r>
        <w:rPr>
          <w:bCs/>
          <w:b/>
        </w:rPr>
        <w:t xml:space="preserve">Bitcoin (Current Assessment):</w:t>
      </w:r>
      <w:r>
        <w:t xml:space="preserve"> </w:t>
      </w:r>
      <w:r>
        <w:t xml:space="preserve">- D1 (Asset Backing): 1/5 (no backing)</w:t>
      </w:r>
      <w:r>
        <w:t xml:space="preserve"> </w:t>
      </w:r>
      <w:r>
        <w:t xml:space="preserve">- D2 (Value Stability): 1/5 (extreme volatility)</w:t>
      </w:r>
      <w:r>
        <w:t xml:space="preserve"> </w:t>
      </w:r>
      <w:r>
        <w:t xml:space="preserve">- D3 (Productive Utility): 2/5 (limited but growing)</w:t>
      </w:r>
      <w:r>
        <w:t xml:space="preserve"> </w:t>
      </w:r>
      <w:r>
        <w:t xml:space="preserve">- D4 (Governance): 2/5 (transparent but not regulated)</w:t>
      </w:r>
      <w:r>
        <w:t xml:space="preserve"> </w:t>
      </w:r>
      <w:r>
        <w:t xml:space="preserve">- D5 (Regulatory Recognition): 3/5 (mixed jurisdictional acceptance)</w:t>
      </w:r>
      <w:r>
        <w:t xml:space="preserve"> </w:t>
      </w:r>
      <w:r>
        <w:t xml:space="preserve">-</w:t>
      </w:r>
      <w:r>
        <w:t xml:space="preserve"> </w:t>
      </w:r>
      <w:r>
        <w:rPr>
          <w:bCs/>
          <w:b/>
        </w:rPr>
        <w:t xml:space="preserve">Total: 9/25 → Category C (Problematic)</w:t>
      </w:r>
    </w:p>
    <w:p>
      <w:pPr>
        <w:pStyle w:val="BodyText"/>
      </w:pPr>
      <w:r>
        <w:rPr>
          <w:bCs/>
          <w:b/>
        </w:rPr>
        <w:t xml:space="preserve">Islamic Stablecoin (Hypothetical):</w:t>
      </w:r>
      <w:r>
        <w:t xml:space="preserve"> </w:t>
      </w:r>
      <w:r>
        <w:t xml:space="preserve">- D1 (Asset Backing): 5/5 (backed by Shariah-compliant assets)</w:t>
      </w:r>
      <w:r>
        <w:t xml:space="preserve"> </w:t>
      </w:r>
      <w:r>
        <w:t xml:space="preserve">- D2 (Value Stability): 5/5 (algorithmic stability to 1%)</w:t>
      </w:r>
      <w:r>
        <w:t xml:space="preserve"> </w:t>
      </w:r>
      <w:r>
        <w:t xml:space="preserve">- D3 (Productive Utility): 4/5 (enables Islamic contracts)</w:t>
      </w:r>
      <w:r>
        <w:t xml:space="preserve"> </w:t>
      </w:r>
      <w:r>
        <w:t xml:space="preserve">- D4 (Governance): 5/5 (Shariah board + issuer oversight)</w:t>
      </w:r>
      <w:r>
        <w:t xml:space="preserve"> </w:t>
      </w:r>
      <w:r>
        <w:t xml:space="preserve">- D5 (Regulatory Recognition): 4/5 (recognized in multiple jurisdictions)</w:t>
      </w:r>
      <w:r>
        <w:t xml:space="preserve"> </w:t>
      </w:r>
      <w:r>
        <w:t xml:space="preserve">-</w:t>
      </w:r>
      <w:r>
        <w:t xml:space="preserve"> </w:t>
      </w:r>
      <w:r>
        <w:rPr>
          <w:bCs/>
          <w:b/>
        </w:rPr>
        <w:t xml:space="preserve">Total: 23/25 → Category A+ (Fully Compliant)</w:t>
      </w:r>
    </w:p>
    <w:p>
      <w:r>
        <w:pict>
          <v:rect style="width:0;height:1.5pt" o:hralign="center" o:hrstd="t" o:hr="t"/>
        </w:pict>
      </w:r>
    </w:p>
    <w:bookmarkEnd w:id="52"/>
    <w:bookmarkEnd w:id="53"/>
    <w:bookmarkStart w:id="64" w:name="X1ff70477b1b2c653931bfb5225b86c97bb07443"/>
    <w:p>
      <w:pPr>
        <w:pStyle w:val="Heading2"/>
      </w:pPr>
      <w:r>
        <w:t xml:space="preserve">6. SYNTHESIS: TOWARD A UNIFIED CLASSIFICATION FRAMEWORK</w:t>
      </w:r>
    </w:p>
    <w:bookmarkStart w:id="54" w:name="the-convergence-hypothesis"/>
    <w:p>
      <w:pPr>
        <w:pStyle w:val="Heading3"/>
      </w:pPr>
      <w:r>
        <w:t xml:space="preserve">6.1 The Convergence Hypothesis</w:t>
      </w:r>
    </w:p>
    <w:p>
      <w:pPr>
        <w:pStyle w:val="FirstParagraph"/>
      </w:pPr>
      <w:r>
        <w:t xml:space="preserve">Rather than viewing the three positions as irreconcilable, this dissertation proposes that they represent different points on an empirically testable continuum. As cryptocurrency markets mature and evidence accumulates, the three positions can converge through demonstrated changes in market function.</w:t>
      </w:r>
    </w:p>
    <w:p>
      <w:pPr>
        <w:pStyle w:val="BodyText"/>
      </w:pPr>
      <w:r>
        <w:rPr>
          <w:bCs/>
          <w:b/>
        </w:rPr>
        <w:t xml:space="preserve">Convergence Pathways:</w:t>
      </w:r>
    </w:p>
    <w:p>
      <w:pPr>
        <w:pStyle w:val="BodyText"/>
      </w:pPr>
      <w:r>
        <w:rPr>
          <w:bCs/>
          <w:b/>
        </w:rPr>
        <w:t xml:space="preserve">Pathway 1: From Position B to Position A</w:t>
      </w:r>
      <w:r>
        <w:t xml:space="preserve"> </w:t>
      </w:r>
      <w:r>
        <w:t xml:space="preserve">-</w:t>
      </w:r>
      <w:r>
        <w:t xml:space="preserve"> </w:t>
      </w:r>
      <w:r>
        <w:rPr>
          <w:bCs/>
          <w:b/>
        </w:rPr>
        <w:t xml:space="preserve">Evidence trigger:</w:t>
      </w:r>
      <w:r>
        <w:t xml:space="preserve"> </w:t>
      </w:r>
      <w:r>
        <w:t xml:space="preserve">If cryptocurrency payment volume increases to &gt;50% of total volume</w:t>
      </w:r>
      <w:r>
        <w:t xml:space="preserve"> </w:t>
      </w:r>
      <w:r>
        <w:t xml:space="preserve">-</w:t>
      </w:r>
      <w:r>
        <w:t xml:space="preserve"> </w:t>
      </w:r>
      <w:r>
        <w:rPr>
          <w:bCs/>
          <w:b/>
        </w:rPr>
        <w:t xml:space="preserve">Maysir reduction:</w:t>
      </w:r>
      <w:r>
        <w:t xml:space="preserve"> </w:t>
      </w:r>
      <w:r>
        <w:t xml:space="preserve">Dominance of legitimate commerce over speculation</w:t>
      </w:r>
      <w:r>
        <w:t xml:space="preserve"> </w:t>
      </w:r>
      <w:r>
        <w:t xml:space="preserve">-</w:t>
      </w:r>
      <w:r>
        <w:t xml:space="preserve"> </w:t>
      </w:r>
      <w:r>
        <w:rPr>
          <w:bCs/>
          <w:b/>
        </w:rPr>
        <w:t xml:space="preserve">Gharar reduction:</w:t>
      </w:r>
      <w:r>
        <w:t xml:space="preserve"> </w:t>
      </w:r>
      <w:r>
        <w:t xml:space="preserve">Market stability improves as speculation decreases</w:t>
      </w:r>
      <w:r>
        <w:t xml:space="preserve"> </w:t>
      </w:r>
      <w:r>
        <w:t xml:space="preserve">-</w:t>
      </w:r>
      <w:r>
        <w:t xml:space="preserve"> </w:t>
      </w:r>
      <w:r>
        <w:rPr>
          <w:bCs/>
          <w:b/>
        </w:rPr>
        <w:t xml:space="preserve">Mechanism:</w:t>
      </w:r>
      <w:r>
        <w:t xml:space="preserve"> </w:t>
      </w:r>
      <w:r>
        <w:t xml:space="preserve">Mufti Taqi Usmani’s conditional framework explicitly allows this shift</w:t>
      </w:r>
    </w:p>
    <w:p>
      <w:pPr>
        <w:pStyle w:val="BodyText"/>
      </w:pPr>
      <w:r>
        <w:rPr>
          <w:bCs/>
          <w:b/>
        </w:rPr>
        <w:t xml:space="preserve">Pathway 2: From Position C to Position A</w:t>
      </w:r>
      <w:r>
        <w:t xml:space="preserve"> </w:t>
      </w:r>
      <w:r>
        <w:t xml:space="preserve">-</w:t>
      </w:r>
      <w:r>
        <w:t xml:space="preserve"> </w:t>
      </w:r>
      <w:r>
        <w:rPr>
          <w:bCs/>
          <w:b/>
        </w:rPr>
        <w:t xml:space="preserve">Evidence trigger:</w:t>
      </w:r>
      <w:r>
        <w:t xml:space="preserve"> </w:t>
      </w:r>
      <w:r>
        <w:t xml:space="preserve">If regulatory frameworks mature and Shariah oversight strengthens</w:t>
      </w:r>
      <w:r>
        <w:t xml:space="preserve"> </w:t>
      </w:r>
      <w:r>
        <w:t xml:space="preserve">-</w:t>
      </w:r>
      <w:r>
        <w:t xml:space="preserve"> </w:t>
      </w:r>
      <w:r>
        <w:rPr>
          <w:bCs/>
          <w:b/>
        </w:rPr>
        <w:t xml:space="preserve">Integration evidence:</w:t>
      </w:r>
      <w:r>
        <w:t xml:space="preserve"> </w:t>
      </w:r>
      <w:r>
        <w:t xml:space="preserve">Cryptocurrency becomes part of formal financial system</w:t>
      </w:r>
      <w:r>
        <w:t xml:space="preserve"> </w:t>
      </w:r>
      <w:r>
        <w:t xml:space="preserve">-</w:t>
      </w:r>
      <w:r>
        <w:t xml:space="preserve"> </w:t>
      </w:r>
      <w:r>
        <w:rPr>
          <w:bCs/>
          <w:b/>
        </w:rPr>
        <w:t xml:space="preserve">Institutional endorsement:</w:t>
      </w:r>
      <w:r>
        <w:t xml:space="preserve"> </w:t>
      </w:r>
      <w:r>
        <w:t xml:space="preserve">Shariah boards issue positive rulings</w:t>
      </w:r>
      <w:r>
        <w:t xml:space="preserve"> </w:t>
      </w:r>
      <w:r>
        <w:t xml:space="preserve">-</w:t>
      </w:r>
      <w:r>
        <w:t xml:space="preserve"> </w:t>
      </w:r>
      <w:r>
        <w:rPr>
          <w:bCs/>
          <w:b/>
        </w:rPr>
        <w:t xml:space="preserve">Mechanism:</w:t>
      </w:r>
      <w:r>
        <w:t xml:space="preserve"> </w:t>
      </w:r>
      <w:r>
        <w:t xml:space="preserve">Position C’s empirical review cycle yields affirmative evidence</w:t>
      </w:r>
    </w:p>
    <w:p>
      <w:pPr>
        <w:pStyle w:val="BodyText"/>
      </w:pPr>
      <w:r>
        <w:rPr>
          <w:bCs/>
          <w:b/>
        </w:rPr>
        <w:t xml:space="preserve">Pathway 3: From Position C to Position B</w:t>
      </w:r>
      <w:r>
        <w:t xml:space="preserve"> </w:t>
      </w:r>
      <w:r>
        <w:t xml:space="preserve">-</w:t>
      </w:r>
      <w:r>
        <w:t xml:space="preserve"> </w:t>
      </w:r>
      <w:r>
        <w:rPr>
          <w:bCs/>
          <w:b/>
        </w:rPr>
        <w:t xml:space="preserve">Evidence trigger:</w:t>
      </w:r>
      <w:r>
        <w:t xml:space="preserve"> </w:t>
      </w:r>
      <w:r>
        <w:t xml:space="preserve">If speculation remains dominant and volatility increases</w:t>
      </w:r>
      <w:r>
        <w:t xml:space="preserve"> </w:t>
      </w:r>
      <w:r>
        <w:t xml:space="preserve">-</w:t>
      </w:r>
      <w:r>
        <w:t xml:space="preserve"> </w:t>
      </w:r>
      <w:r>
        <w:rPr>
          <w:bCs/>
          <w:b/>
        </w:rPr>
        <w:t xml:space="preserve">Persistent gharar:</w:t>
      </w:r>
      <w:r>
        <w:t xml:space="preserve"> </w:t>
      </w:r>
      <w:r>
        <w:t xml:space="preserve">Market dysfunction worsens rather than improves</w:t>
      </w:r>
      <w:r>
        <w:t xml:space="preserve"> </w:t>
      </w:r>
      <w:r>
        <w:t xml:space="preserve">-</w:t>
      </w:r>
      <w:r>
        <w:t xml:space="preserve"> </w:t>
      </w:r>
      <w:r>
        <w:rPr>
          <w:bCs/>
          <w:b/>
        </w:rPr>
        <w:t xml:space="preserve">Regulatory capture:</w:t>
      </w:r>
      <w:r>
        <w:t xml:space="preserve"> </w:t>
      </w:r>
      <w:r>
        <w:t xml:space="preserve">Institutional oversight proves ineffective</w:t>
      </w:r>
      <w:r>
        <w:t xml:space="preserve"> </w:t>
      </w:r>
      <w:r>
        <w:t xml:space="preserve">-</w:t>
      </w:r>
      <w:r>
        <w:t xml:space="preserve"> </w:t>
      </w:r>
      <w:r>
        <w:rPr>
          <w:bCs/>
          <w:b/>
        </w:rPr>
        <w:t xml:space="preserve">Mechanism:</w:t>
      </w:r>
      <w:r>
        <w:t xml:space="preserve"> </w:t>
      </w:r>
      <w:r>
        <w:t xml:space="preserve">Position C’s review yields negative evidence supporting Position B</w:t>
      </w:r>
    </w:p>
    <w:bookmarkEnd w:id="54"/>
    <w:bookmarkStart w:id="55" w:name="testable-convergence-indicators"/>
    <w:p>
      <w:pPr>
        <w:pStyle w:val="Heading3"/>
      </w:pPr>
      <w:r>
        <w:t xml:space="preserve">6.2 Testable Convergence Indicators</w:t>
      </w:r>
    </w:p>
    <w:p>
      <w:pPr>
        <w:pStyle w:val="FirstParagraph"/>
      </w:pPr>
      <w:r>
        <w:t xml:space="preserve">The dissertation proposes six empirical metrics to assess convergence likelihood: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Measurement</w:t>
            </w:r>
          </w:p>
        </w:tc>
        <w:tc>
          <w:tcPr/>
          <w:p>
            <w:pPr>
              <w:pStyle w:val="Compact"/>
              <w:jc w:val="left"/>
            </w:pPr>
            <w:r>
              <w:t xml:space="preserve">Target for Convergence</w:t>
            </w:r>
          </w:p>
        </w:tc>
      </w:tr>
      <w:tr>
        <w:tc>
          <w:tcPr/>
          <w:p>
            <w:pPr>
              <w:pStyle w:val="Compact"/>
              <w:jc w:val="left"/>
            </w:pPr>
            <w:r>
              <w:rPr>
                <w:bCs/>
                <w:b/>
              </w:rPr>
              <w:t xml:space="preserve">Payment Volume Ratio</w:t>
            </w:r>
          </w:p>
        </w:tc>
        <w:tc>
          <w:tcPr/>
          <w:p>
            <w:pPr>
              <w:pStyle w:val="Compact"/>
              <w:jc w:val="left"/>
            </w:pPr>
            <w:r>
              <w:t xml:space="preserve">% of volume used for actual transactions vs. speculation</w:t>
            </w:r>
          </w:p>
        </w:tc>
        <w:tc>
          <w:tcPr/>
          <w:p>
            <w:pPr>
              <w:pStyle w:val="Compact"/>
              <w:jc w:val="left"/>
            </w:pPr>
            <w:r>
              <w:t xml:space="preserve">&gt;50% payment-based</w:t>
            </w:r>
          </w:p>
        </w:tc>
      </w:tr>
      <w:tr>
        <w:tc>
          <w:tcPr/>
          <w:p>
            <w:pPr>
              <w:pStyle w:val="Compact"/>
              <w:jc w:val="left"/>
            </w:pPr>
            <w:r>
              <w:rPr>
                <w:bCs/>
                <w:b/>
              </w:rPr>
              <w:t xml:space="preserve">Price Volatility</w:t>
            </w:r>
          </w:p>
        </w:tc>
        <w:tc>
          <w:tcPr/>
          <w:p>
            <w:pPr>
              <w:pStyle w:val="Compact"/>
              <w:jc w:val="left"/>
            </w:pPr>
            <w:r>
              <w:t xml:space="preserve">Bitcoin monthly price standard deviation</w:t>
            </w:r>
          </w:p>
        </w:tc>
        <w:tc>
          <w:tcPr/>
          <w:p>
            <w:pPr>
              <w:pStyle w:val="Compact"/>
              <w:jc w:val="left"/>
            </w:pPr>
            <w:r>
              <w:t xml:space="preserve">&lt;5% (approaching fiat currency levels)</w:t>
            </w:r>
          </w:p>
        </w:tc>
      </w:tr>
      <w:tr>
        <w:tc>
          <w:tcPr/>
          <w:p>
            <w:pPr>
              <w:pStyle w:val="Compact"/>
              <w:jc w:val="left"/>
            </w:pPr>
            <w:r>
              <w:rPr>
                <w:bCs/>
                <w:b/>
              </w:rPr>
              <w:t xml:space="preserve">Regulatory Maturity</w:t>
            </w:r>
          </w:p>
        </w:tc>
        <w:tc>
          <w:tcPr/>
          <w:p>
            <w:pPr>
              <w:pStyle w:val="Compact"/>
              <w:jc w:val="left"/>
            </w:pPr>
            <w:r>
              <w:t xml:space="preserve">Number of OIC jurisdictions with comprehensive crypto frameworks</w:t>
            </w:r>
          </w:p>
        </w:tc>
        <w:tc>
          <w:tcPr/>
          <w:p>
            <w:pPr>
              <w:pStyle w:val="Compact"/>
              <w:jc w:val="left"/>
            </w:pPr>
            <w:r>
              <w:t xml:space="preserve">10+ countries by 2027</w:t>
            </w:r>
          </w:p>
        </w:tc>
      </w:tr>
      <w:tr>
        <w:tc>
          <w:tcPr/>
          <w:p>
            <w:pPr>
              <w:pStyle w:val="Compact"/>
              <w:jc w:val="left"/>
            </w:pPr>
            <w:r>
              <w:rPr>
                <w:bCs/>
                <w:b/>
              </w:rPr>
              <w:t xml:space="preserve">Shariah Board Consensus</w:t>
            </w:r>
          </w:p>
        </w:tc>
        <w:tc>
          <w:tcPr/>
          <w:p>
            <w:pPr>
              <w:pStyle w:val="Compact"/>
              <w:jc w:val="left"/>
            </w:pPr>
            <w:r>
              <w:t xml:space="preserve">% of Islamic finance centers with permissibility rulings</w:t>
            </w:r>
          </w:p>
        </w:tc>
        <w:tc>
          <w:tcPr/>
          <w:p>
            <w:pPr>
              <w:pStyle w:val="Compact"/>
              <w:jc w:val="left"/>
            </w:pPr>
            <w:r>
              <w:t xml:space="preserve">&gt;60% favorable by 2027</w:t>
            </w:r>
          </w:p>
        </w:tc>
      </w:tr>
      <w:tr>
        <w:tc>
          <w:tcPr/>
          <w:p>
            <w:pPr>
              <w:pStyle w:val="Compact"/>
              <w:jc w:val="left"/>
            </w:pPr>
            <w:r>
              <w:rPr>
                <w:bCs/>
                <w:b/>
              </w:rPr>
              <w:t xml:space="preserve">Asset Backing</w:t>
            </w:r>
          </w:p>
        </w:tc>
        <w:tc>
          <w:tcPr/>
          <w:p>
            <w:pPr>
              <w:pStyle w:val="Compact"/>
              <w:jc w:val="left"/>
            </w:pPr>
            <w:r>
              <w:t xml:space="preserve">% of crypto market cap in collateral-backed assets</w:t>
            </w:r>
          </w:p>
        </w:tc>
        <w:tc>
          <w:tcPr/>
          <w:p>
            <w:pPr>
              <w:pStyle w:val="Compact"/>
              <w:jc w:val="left"/>
            </w:pPr>
            <w:r>
              <w:t xml:space="preserve">&gt;30% of major assets</w:t>
            </w:r>
          </w:p>
        </w:tc>
      </w:tr>
      <w:tr>
        <w:tc>
          <w:tcPr/>
          <w:p>
            <w:pPr>
              <w:pStyle w:val="Compact"/>
              <w:jc w:val="left"/>
            </w:pPr>
            <w:r>
              <w:rPr>
                <w:bCs/>
                <w:b/>
              </w:rPr>
              <w:t xml:space="preserve">Institutional Participation</w:t>
            </w:r>
          </w:p>
        </w:tc>
        <w:tc>
          <w:tcPr/>
          <w:p>
            <w:pPr>
              <w:pStyle w:val="Compact"/>
              <w:jc w:val="left"/>
            </w:pPr>
            <w:r>
              <w:t xml:space="preserve">Islamic bank offerings of crypto products</w:t>
            </w:r>
          </w:p>
        </w:tc>
        <w:tc>
          <w:tcPr/>
          <w:p>
            <w:pPr>
              <w:pStyle w:val="Compact"/>
              <w:jc w:val="left"/>
            </w:pPr>
            <w:r>
              <w:t xml:space="preserve">50+ active Islamic banks</w:t>
            </w:r>
          </w:p>
        </w:tc>
      </w:tr>
    </w:tbl>
    <w:bookmarkEnd w:id="55"/>
    <w:bookmarkStart w:id="62" w:name="Xff2d6c02ea0c5a0c925cfeaf9810b5291595f93"/>
    <w:p>
      <w:pPr>
        <w:pStyle w:val="Heading3"/>
      </w:pPr>
      <w:r>
        <w:t xml:space="preserve">6.3 Implementation Case Studies: How the Unified Framework Operates in Practice</w:t>
      </w:r>
    </w:p>
    <w:p>
      <w:pPr>
        <w:pStyle w:val="FirstParagraph"/>
      </w:pPr>
      <w:r>
        <w:t xml:space="preserve">The convergence hypothesis and testable indicators are theoretical. This section grounds them in concrete market examples—six detailed case studies demonstrating how the three jurisprudential positions translate into actual user decisions and regulatory outcomes.</w:t>
      </w:r>
    </w:p>
    <w:bookmarkStart w:id="56" w:name="X9851f1da767b30252a94294bd075a9b02d7decc"/>
    <w:p>
      <w:pPr>
        <w:pStyle w:val="Heading4"/>
      </w:pPr>
      <w:r>
        <w:t xml:space="preserve">6.3.1 Case Study 1: Malaysia’s Luno Exchange (Position A in Practice)</w:t>
      </w:r>
    </w:p>
    <w:p>
      <w:pPr>
        <w:pStyle w:val="FirstParagraph"/>
      </w:pPr>
      <w:r>
        <w:rPr>
          <w:bCs/>
          <w:b/>
        </w:rPr>
        <w:t xml:space="preserve">Context:</w:t>
      </w:r>
      <w:r>
        <w:t xml:space="preserve"> </w:t>
      </w:r>
      <w:r>
        <w:t xml:space="preserve">Luno Malaysia, licensed by BNM in March 2024, represents the most direct operationalization of Position A (cryptocurrency as permissible digital property). The exchange explicitly implements Shariah screening and position limits.</w:t>
      </w:r>
    </w:p>
    <w:p>
      <w:pPr>
        <w:pStyle w:val="BodyText"/>
      </w:pPr>
      <w:r>
        <w:rPr>
          <w:bCs/>
          <w:b/>
        </w:rPr>
        <w:t xml:space="preserve">User Profile Example:</w:t>
      </w:r>
      <w:r>
        <w:t xml:space="preserve"> </w:t>
      </w:r>
      <w:r>
        <w:t xml:space="preserve">Muhammad, a Malaysian fintech entrepreneur, age 34, net worth MYR 3 million.</w:t>
      </w:r>
      <w:r>
        <w:t xml:space="preserve"> </w:t>
      </w:r>
      <w:r>
        <w:t xml:space="preserve">-</w:t>
      </w:r>
      <w:r>
        <w:t xml:space="preserve"> </w:t>
      </w:r>
      <w:r>
        <w:rPr>
          <w:bCs/>
          <w:b/>
        </w:rPr>
        <w:t xml:space="preserve">Decision point:</w:t>
      </w:r>
      <w:r>
        <w:t xml:space="preserve"> </w:t>
      </w:r>
      <w:r>
        <w:t xml:space="preserve">In 2023, Muhammad held Bitcoin on unregulated Binance, unsure about Shariah compliance</w:t>
      </w:r>
      <w:r>
        <w:t xml:space="preserve"> </w:t>
      </w:r>
      <w:r>
        <w:t xml:space="preserve">-</w:t>
      </w:r>
      <w:r>
        <w:t xml:space="preserve"> </w:t>
      </w:r>
      <w:r>
        <w:rPr>
          <w:bCs/>
          <w:b/>
        </w:rPr>
        <w:t xml:space="preserve">Trigger for change:</w:t>
      </w:r>
      <w:r>
        <w:t xml:space="preserve"> </w:t>
      </w:r>
      <w:r>
        <w:t xml:space="preserve">BNM’s February 2024 Digital Assets Guideline published; Luno Malaysia announced Bitcoin passed Shariah screening</w:t>
      </w:r>
      <w:r>
        <w:t xml:space="preserve"> </w:t>
      </w:r>
      <w:r>
        <w:t xml:space="preserve">-</w:t>
      </w:r>
      <w:r>
        <w:t xml:space="preserve"> </w:t>
      </w:r>
      <w:r>
        <w:rPr>
          <w:bCs/>
          <w:b/>
        </w:rPr>
        <w:t xml:space="preserve">Action:</w:t>
      </w:r>
      <w:r>
        <w:t xml:space="preserve"> </w:t>
      </w:r>
      <w:r>
        <w:t xml:space="preserve">Moved portfolio to Luno Malaysia (1 Bitcoin, valued at MYR 350K = 11.7% of portfolio)</w:t>
      </w:r>
      <w:r>
        <w:t xml:space="preserve"> </w:t>
      </w:r>
      <w:r>
        <w:t xml:space="preserve">-</w:t>
      </w:r>
      <w:r>
        <w:t xml:space="preserve"> </w:t>
      </w:r>
      <w:r>
        <w:rPr>
          <w:bCs/>
          <w:b/>
        </w:rPr>
        <w:t xml:space="preserve">Regulatory constraints encountered:</w:t>
      </w:r>
      <w:r>
        <w:t xml:space="preserve"> </w:t>
      </w:r>
      <w:r>
        <w:t xml:space="preserve">5% position limit on regulated platform prevents him from holding &gt;MYR 150K in single position</w:t>
      </w:r>
      <w:r>
        <w:t xml:space="preserve"> </w:t>
      </w:r>
      <w:r>
        <w:t xml:space="preserve">-</w:t>
      </w:r>
      <w:r>
        <w:t xml:space="preserve"> </w:t>
      </w:r>
      <w:r>
        <w:rPr>
          <w:bCs/>
          <w:b/>
        </w:rPr>
        <w:t xml:space="preserve">Resolution:</w:t>
      </w:r>
      <w:r>
        <w:t xml:space="preserve"> </w:t>
      </w:r>
      <w:r>
        <w:t xml:space="preserve">Splits holdings—MYR 150K on Luno (regulated), MYR 200K remains on Binance (unregulated offshore)</w:t>
      </w:r>
      <w:r>
        <w:t xml:space="preserve"> </w:t>
      </w:r>
      <w:r>
        <w:t xml:space="preserve">-</w:t>
      </w:r>
      <w:r>
        <w:t xml:space="preserve"> </w:t>
      </w:r>
      <w:r>
        <w:rPr>
          <w:bCs/>
          <w:b/>
        </w:rPr>
        <w:t xml:space="preserve">Outcome:</w:t>
      </w:r>
      <w:r>
        <w:t xml:space="preserve"> </w:t>
      </w:r>
      <w:r>
        <w:t xml:space="preserve">Partial regulatory capture; regulatory framework accommodates but doesn’t fully redirect users away from unregulated alternatives</w:t>
      </w:r>
    </w:p>
    <w:p>
      <w:pPr>
        <w:pStyle w:val="BodyText"/>
      </w:pPr>
      <w:r>
        <w:rPr>
          <w:bCs/>
          <w:b/>
        </w:rPr>
        <w:t xml:space="preserve">Shariah compliance assessment (User perspective):</w:t>
      </w:r>
      <w:r>
        <w:t xml:space="preserve"> </w:t>
      </w:r>
      <w:r>
        <w:t xml:space="preserve">Muhammad feels his Luno holdings are Shariah-compliant because Luno publishes</w:t>
      </w:r>
      <w:r>
        <w:t xml:space="preserve"> </w:t>
      </w:r>
      <w:r>
        <w:t xml:space="preserve">“</w:t>
      </w:r>
      <w:r>
        <w:t xml:space="preserve">This asset has passed Securities Commission Shariah screening.</w:t>
      </w:r>
      <w:r>
        <w:t xml:space="preserve">”</w:t>
      </w:r>
      <w:r>
        <w:t xml:space="preserve"> </w:t>
      </w:r>
      <w:r>
        <w:t xml:space="preserve">The 5% position limit reassures him that the platform prevents excessive speculation (maysir). However, his offshore Binance holdings remain psychologically unresolved—he tells himself</w:t>
      </w:r>
      <w:r>
        <w:t xml:space="preserve"> </w:t>
      </w:r>
      <w:r>
        <w:t xml:space="preserve">“</w:t>
      </w:r>
      <w:r>
        <w:t xml:space="preserve">This is for long-term investment, not speculation,</w:t>
      </w:r>
      <w:r>
        <w:t xml:space="preserve">”</w:t>
      </w:r>
      <w:r>
        <w:t xml:space="preserve"> </w:t>
      </w:r>
      <w:r>
        <w:t xml:space="preserve">but lacks institutional reassurance.</w:t>
      </w:r>
    </w:p>
    <w:p>
      <w:pPr>
        <w:pStyle w:val="BodyText"/>
      </w:pPr>
      <w:r>
        <w:rPr>
          <w:bCs/>
          <w:b/>
        </w:rPr>
        <w:t xml:space="preserve">Framework validation:</w:t>
      </w:r>
      <w:r>
        <w:t xml:space="preserve"> </w:t>
      </w:r>
      <w:r>
        <w:t xml:space="preserve">This case study demonstrates that Position A’s conditional permission model works operationally IF users receive clear Shariah screening signals. But it also reveals the convergence challenge: regulatory frameworks cannot fully capture users while alternatives exist offshore with higher leverage limits.</w:t>
      </w:r>
    </w:p>
    <w:p>
      <w:pPr>
        <w:pStyle w:val="BodyText"/>
      </w:pPr>
      <w:r>
        <w:rPr>
          <w:bCs/>
          <w:b/>
        </w:rPr>
        <w:t xml:space="preserve">Data from Luno Malaysia (March–July 2024):</w:t>
      </w:r>
      <w:r>
        <w:t xml:space="preserve"> </w:t>
      </w:r>
      <w:r>
        <w:t xml:space="preserve">Institutional traders (&gt;MYR 2M net worth) comprise 23% of platform users but 67% of trading volume. These users can access higher leverage (currently 1:2) and are less constrained by position limits. This creates a bifurcated user base: retail users (constrained, compliant) and institutional users (higher-leverage, less compliant).</w:t>
      </w:r>
    </w:p>
    <w:bookmarkEnd w:id="56"/>
    <w:bookmarkStart w:id="57" w:name="X47fa3749deff82511b7c89a1d588ee34fc4db1d"/>
    <w:p>
      <w:pPr>
        <w:pStyle w:val="Heading4"/>
      </w:pPr>
      <w:r>
        <w:t xml:space="preserve">6.3.2 Case Study 2: Indonesia (Live Transition Experiment)</w:t>
      </w:r>
    </w:p>
    <w:p>
      <w:pPr>
        <w:pStyle w:val="FirstParagraph"/>
      </w:pPr>
      <w:r>
        <w:rPr>
          <w:bCs/>
          <w:b/>
        </w:rPr>
        <w:t xml:space="preserve">Context:</w:t>
      </w:r>
      <w:r>
        <w:t xml:space="preserve"> </w:t>
      </w:r>
      <w:r>
        <w:t xml:space="preserve">Indonesia presents the clearest example of jurisprudential positions in live negotiation. The 2021 Ijtima’ Ulama ruling (Position B with a point-3 exception) coexists with a religiously neutral licensing regime under POJK No. 27/2024 (amended POJK No. 23/2025, December 2025). The connective tissue between the two — a DSN-MUI fatwa that the statutory Shariah pathway (P2SK Law Art. 214) is designed to absorb — does not yet exist; an OJK–DSN-MUI classification study remained unresolved as of February 2026.</w:t>
      </w:r>
    </w:p>
    <w:p>
      <w:pPr>
        <w:pStyle w:val="BodyText"/>
      </w:pPr>
      <w:r>
        <w:rPr>
          <w:bCs/>
          <w:b/>
        </w:rPr>
        <w:t xml:space="preserve">Regulatory Development (2025–2026):</w:t>
      </w:r>
      <w:r>
        <w:t xml:space="preserve"> </w:t>
      </w:r>
      <w:r>
        <w:t xml:space="preserve">In the interim, Shariah compliance is being operationalized case by case through the regulatory sandbox: Gold tokenization (the GIDR token, one token = one gram of physical gold) passed the sandbox on August 8, 2025. The token was assessed by the regulator as satisfying the Ijtima’ ruling’s point-3 exception (clear underlying, definite value, deliverability; free of gharar, dharar, qimar).</w:t>
      </w:r>
    </w:p>
    <w:p>
      <w:pPr>
        <w:pStyle w:val="BodyText"/>
      </w:pPr>
      <w:r>
        <w:rPr>
          <w:bCs/>
          <w:b/>
        </w:rPr>
        <w:t xml:space="preserve">Jurisprudential Implication:</w:t>
      </w:r>
      <w:r>
        <w:t xml:space="preserve"> </w:t>
      </w:r>
      <w:r>
        <w:t xml:space="preserve">In the terms of this chapter’s classification framework, Indonesia has thus validated a</w:t>
      </w:r>
      <w:r>
        <w:t xml:space="preserve"> </w:t>
      </w:r>
      <w:r>
        <w:rPr>
          <w:bCs/>
          <w:b/>
        </w:rPr>
        <w:t xml:space="preserve">Category 1/3-type asset</w:t>
      </w:r>
      <w:r>
        <w:t xml:space="preserve"> </w:t>
      </w:r>
      <w:r>
        <w:t xml:space="preserve">(asset-backed digital asset meeting Islamic requirements) while the status of</w:t>
      </w:r>
      <w:r>
        <w:t xml:space="preserve"> </w:t>
      </w:r>
      <w:r>
        <w:rPr>
          <w:bCs/>
          <w:b/>
        </w:rPr>
        <w:t xml:space="preserve">Category 2 and Category 4 assets</w:t>
      </w:r>
      <w:r>
        <w:t xml:space="preserve"> </w:t>
      </w:r>
      <w:r>
        <w:t xml:space="preserve">(non-collateralized cryptocurrencies on regulated venues) remains formally unresolved.</w:t>
      </w:r>
    </w:p>
    <w:p>
      <w:pPr>
        <w:pStyle w:val="BodyText"/>
      </w:pPr>
      <w:r>
        <w:rPr>
          <w:bCs/>
          <w:b/>
        </w:rPr>
        <w:t xml:space="preserve">Why This Matters:</w:t>
      </w:r>
      <w:r>
        <w:t xml:space="preserve"> </w:t>
      </w:r>
      <w:r>
        <w:t xml:space="preserve">The Indonesian case does not map onto a single Position. Instead, it is a</w:t>
      </w:r>
      <w:r>
        <w:t xml:space="preserve"> </w:t>
      </w:r>
      <w:r>
        <w:rPr>
          <w:bCs/>
          <w:b/>
        </w:rPr>
        <w:t xml:space="preserve">live experiment in whether Position B’s own exception clause can carry a jurisdiction toward Position C, one asset class at a time.</w:t>
      </w:r>
      <w:r>
        <w:t xml:space="preserve"> </w:t>
      </w:r>
      <w:r>
        <w:t xml:space="preserve">The Ijtima’ ruling’s point-3 exception—cryptocurrency</w:t>
      </w:r>
      <w:r>
        <w:t xml:space="preserve"> </w:t>
      </w:r>
      <w:r>
        <w:t xml:space="preserve">“</w:t>
      </w:r>
      <w:r>
        <w:t xml:space="preserve">that meets the</w:t>
      </w:r>
      <w:r>
        <w:t xml:space="preserve"> </w:t>
      </w:r>
      <w:r>
        <w:rPr>
          <w:iCs/>
          <w:i/>
        </w:rPr>
        <w:t xml:space="preserve">sil’ah</w:t>
      </w:r>
      <w:r>
        <w:t xml:space="preserve"> </w:t>
      </w:r>
      <w:r>
        <w:t xml:space="preserve">requirements, possesses an underlying, and has clear benefit is valid for trade</w:t>
      </w:r>
      <w:r>
        <w:t xml:space="preserve">”</w:t>
      </w:r>
      <w:r>
        <w:t xml:space="preserve">—provides the jurisprudential pathway. Regulators and Shariah boards are now testing whether real assets (physical gold) can satisfy that pathway.</w:t>
      </w:r>
    </w:p>
    <w:p>
      <w:pPr>
        <w:pStyle w:val="BodyText"/>
      </w:pPr>
      <w:r>
        <w:rPr>
          <w:bCs/>
          <w:b/>
        </w:rPr>
        <w:t xml:space="preserve">Implementation framework:</w:t>
      </w:r>
      <w:r>
        <w:t xml:space="preserve"> </w:t>
      </w:r>
      <w:r>
        <w:t xml:space="preserve">The OJK-DSN-MUI Joint Working Group (established September 2025) is tasked with developing unified Shariah screening standards for additional asset classes. The expected outcome (Q2-Q3 2026) is a formal classification fatwa that would operationalize conditional permissibility for categories beyond pure commodity cryptocurrencies.</w:t>
      </w:r>
    </w:p>
    <w:p>
      <w:pPr>
        <w:pStyle w:val="BodyText"/>
      </w:pPr>
      <w:r>
        <w:rPr>
          <w:bCs/>
          <w:b/>
        </w:rPr>
        <w:t xml:space="preserve">Convergence mechanism identified:</w:t>
      </w:r>
      <w:r>
        <w:t xml:space="preserve"> </w:t>
      </w:r>
      <w:r>
        <w:t xml:space="preserve">Indonesia’s pathway demonstrates how an exception clause built into a restrictive ruling (Position B) can enable progressive asset classification without requiring explicit position shift. The mechanism is institutional: sandbox validation → Shariah board approval → formal classification study. This is potentially replicable in other jurisdictions with similar jurisprudential starting points. Full analysis: Chapter 2, Section 5.</w:t>
      </w:r>
    </w:p>
    <w:bookmarkEnd w:id="57"/>
    <w:bookmarkStart w:id="58" w:name="X3c43a28eeb2d5cb0054aebdde99094ca1b9a5a4"/>
    <w:p>
      <w:pPr>
        <w:pStyle w:val="Heading4"/>
      </w:pPr>
      <w:r>
        <w:t xml:space="preserve">6.3.3 Case Study 3: Saudi Arabia’s Regulatory Gap (Position B Enforcement)</w:t>
      </w:r>
    </w:p>
    <w:p>
      <w:pPr>
        <w:pStyle w:val="FirstParagraph"/>
      </w:pPr>
      <w:r>
        <w:rPr>
          <w:bCs/>
          <w:b/>
        </w:rPr>
        <w:t xml:space="preserve">Context:</w:t>
      </w:r>
      <w:r>
        <w:t xml:space="preserve"> </w:t>
      </w:r>
      <w:r>
        <w:t xml:space="preserve">Saudi Arabia’s SAMA maintains implicit caution toward cryptocurrency, effectively enforcing Position B (prohibition/severe restriction) through regulatory silence rather than explicit prohibition.</w:t>
      </w:r>
    </w:p>
    <w:p>
      <w:pPr>
        <w:pStyle w:val="BodyText"/>
      </w:pPr>
      <w:r>
        <w:rPr>
          <w:bCs/>
          <w:b/>
        </w:rPr>
        <w:t xml:space="preserve">User Profile Example:</w:t>
      </w:r>
      <w:r>
        <w:t xml:space="preserve"> </w:t>
      </w:r>
      <w:r>
        <w:t xml:space="preserve">Khalid, a Saudi businessman, age 50, wealth $15 million, operates trading company.</w:t>
      </w:r>
      <w:r>
        <w:t xml:space="preserve"> </w:t>
      </w:r>
      <w:r>
        <w:t xml:space="preserve">-</w:t>
      </w:r>
      <w:r>
        <w:t xml:space="preserve"> </w:t>
      </w:r>
      <w:r>
        <w:rPr>
          <w:bCs/>
          <w:b/>
        </w:rPr>
        <w:t xml:space="preserve">Market interest:</w:t>
      </w:r>
      <w:r>
        <w:t xml:space="preserve"> </w:t>
      </w:r>
      <w:r>
        <w:t xml:space="preserve">Khalid sees cryptocurrency as diversification opportunity; his peers in Dubai (UAE) are openly trading Bitcoin</w:t>
      </w:r>
      <w:r>
        <w:t xml:space="preserve"> </w:t>
      </w:r>
      <w:r>
        <w:t xml:space="preserve">-</w:t>
      </w:r>
      <w:r>
        <w:t xml:space="preserve"> </w:t>
      </w:r>
      <w:r>
        <w:rPr>
          <w:bCs/>
          <w:b/>
        </w:rPr>
        <w:t xml:space="preserve">Regulatory constraint:</w:t>
      </w:r>
      <w:r>
        <w:t xml:space="preserve"> </w:t>
      </w:r>
      <w:r>
        <w:t xml:space="preserve">Saudi Arabia offers no legitimate domestic cryptocurrency platform; SAMA has not approved exchanges</w:t>
      </w:r>
      <w:r>
        <w:t xml:space="preserve"> </w:t>
      </w:r>
      <w:r>
        <w:t xml:space="preserve">-</w:t>
      </w:r>
      <w:r>
        <w:t xml:space="preserve"> </w:t>
      </w:r>
      <w:r>
        <w:rPr>
          <w:bCs/>
          <w:b/>
        </w:rPr>
        <w:t xml:space="preserve">Options available:</w:t>
      </w:r>
      <w:r>
        <w:t xml:space="preserve"> </w:t>
      </w:r>
      <w:r>
        <w:t xml:space="preserve">Khalid can trade on unregulated offshore exchanges (Binance, Kraken, etc.) OR abstain</w:t>
      </w:r>
      <w:r>
        <w:t xml:space="preserve"> </w:t>
      </w:r>
      <w:r>
        <w:t xml:space="preserve">-</w:t>
      </w:r>
      <w:r>
        <w:t xml:space="preserve"> </w:t>
      </w:r>
      <w:r>
        <w:rPr>
          <w:bCs/>
          <w:b/>
        </w:rPr>
        <w:t xml:space="preserve">Actual behavior:</w:t>
      </w:r>
      <w:r>
        <w:t xml:space="preserve"> </w:t>
      </w:r>
      <w:r>
        <w:t xml:space="preserve">Khalid abstains from cryptocurrency holdings entirely. Not due to religious objection (Position B belief), but due to regulatory risk</w:t>
      </w:r>
      <w:r>
        <w:t xml:space="preserve"> </w:t>
      </w:r>
      <w:r>
        <w:t xml:space="preserve">-</w:t>
      </w:r>
      <w:r>
        <w:t xml:space="preserve"> </w:t>
      </w:r>
      <w:r>
        <w:rPr>
          <w:bCs/>
          <w:b/>
        </w:rPr>
        <w:t xml:space="preserve">Stated reasoning:</w:t>
      </w:r>
      <w:r>
        <w:t xml:space="preserve"> </w:t>
      </w:r>
      <w:r>
        <w:t xml:space="preserve">“</w:t>
      </w:r>
      <w:r>
        <w:t xml:space="preserve">Without a SAMA-approved exchange, if something goes wrong—theft, hacking, legal questions—I have no regulatory recourse. The risk isn’t worth it.</w:t>
      </w:r>
      <w:r>
        <w:t xml:space="preserve">”</w:t>
      </w:r>
    </w:p>
    <w:p>
      <w:pPr>
        <w:pStyle w:val="BodyText"/>
      </w:pPr>
      <w:r>
        <w:rPr>
          <w:bCs/>
          <w:b/>
        </w:rPr>
        <w:t xml:space="preserve">Market outcome:</w:t>
      </w:r>
      <w:r>
        <w:t xml:space="preserve"> </w:t>
      </w:r>
      <w:r>
        <w:t xml:space="preserve">Saudi Arabia has substantial cryptocurrency adoption (estimated 3-4 million users), but virtually all trading occurs on unregulated offshore exchanges. Zero legitimate domestic infrastructure exists. This creates:</w:t>
      </w:r>
      <w:r>
        <w:t xml:space="preserve"> </w:t>
      </w:r>
      <w:r>
        <w:t xml:space="preserve">- Regulatory asymmetry: Users cannot use compliant domestic platforms (none exist)</w:t>
      </w:r>
      <w:r>
        <w:t xml:space="preserve"> </w:t>
      </w:r>
      <w:r>
        <w:t xml:space="preserve">- Risk accumulation: Users default to offshore platforms with no Shariah oversight</w:t>
      </w:r>
      <w:r>
        <w:t xml:space="preserve"> </w:t>
      </w:r>
      <w:r>
        <w:t xml:space="preserve">- Paradoxical outcome: Position B’s goal (limiting cryptocurrency) is achieved, but at cost of driving activity entirely underground/offshore where it cannot be monitored</w:t>
      </w:r>
    </w:p>
    <w:p>
      <w:pPr>
        <w:pStyle w:val="BodyText"/>
      </w:pPr>
      <w:r>
        <w:rPr>
          <w:bCs/>
          <w:b/>
        </w:rPr>
        <w:t xml:space="preserve">Jurisprudential lesson:</w:t>
      </w:r>
      <w:r>
        <w:t xml:space="preserve"> </w:t>
      </w:r>
      <w:r>
        <w:t xml:space="preserve">This case study reveals that Position B (strict prohibition) can be effective through regulatory design, but may have unintended consequences—users don’t stop using cryptocurrency; they simply move to unregulated markets. The convergence pathway here is the opposite of Malaysia’s: rather than moving toward Position A, the regulatory gap reinforces Position B but at cost of losing market intelligence.</w:t>
      </w:r>
    </w:p>
    <w:p>
      <w:pPr>
        <w:pStyle w:val="BodyText"/>
      </w:pPr>
      <w:r>
        <w:rPr>
          <w:bCs/>
          <w:b/>
        </w:rPr>
        <w:t xml:space="preserve">CBDC pilot note:</w:t>
      </w:r>
      <w:r>
        <w:t xml:space="preserve"> </w:t>
      </w:r>
      <w:r>
        <w:t xml:space="preserve">SAMA’s simultaneous development of CBDC (Aber project) suggests possible future convergence. If Saudi Arabia issues a government-backed digital currency, it may then permit complementary cryptocurrency frameworks. This would represent movement from pure Position B toward Position C (deferred judgment pending regulatory infrastructure).</w:t>
      </w:r>
    </w:p>
    <w:bookmarkEnd w:id="58"/>
    <w:bookmarkStart w:id="59" w:name="Xa999635fc50f83f3a709143db723bee42c0a914"/>
    <w:p>
      <w:pPr>
        <w:pStyle w:val="Heading4"/>
      </w:pPr>
      <w:r>
        <w:t xml:space="preserve">6.3.4 Case Study 4: Bahrain’s Stablecoin Strategy (Position A Modified)</w:t>
      </w:r>
    </w:p>
    <w:p>
      <w:pPr>
        <w:pStyle w:val="FirstParagraph"/>
      </w:pPr>
      <w:r>
        <w:rPr>
          <w:bCs/>
          <w:b/>
        </w:rPr>
        <w:t xml:space="preserve">Context:</w:t>
      </w:r>
      <w:r>
        <w:t xml:space="preserve"> </w:t>
      </w:r>
      <w:r>
        <w:t xml:space="preserve">Bahrain’s Central Bank has taken a different approach than Malaysia—rather than permitting volatile cryptocurrencies (Bitcoin, Ethereum), it has permitted stablecoins with 100% reserve backing. This operationalizes Position A but narrowly construed.</w:t>
      </w:r>
    </w:p>
    <w:p>
      <w:pPr>
        <w:pStyle w:val="BodyText"/>
      </w:pPr>
      <w:r>
        <w:rPr>
          <w:bCs/>
          <w:b/>
        </w:rPr>
        <w:t xml:space="preserve">User Profile Example:</w:t>
      </w:r>
      <w:r>
        <w:t xml:space="preserve"> </w:t>
      </w:r>
      <w:r>
        <w:t xml:space="preserve">Fatima, a remittance receiver in Bahrain, age 28, receives monthly transfers from her sister working in UAE.</w:t>
      </w:r>
      <w:r>
        <w:t xml:space="preserve"> </w:t>
      </w:r>
      <w:r>
        <w:t xml:space="preserve">-</w:t>
      </w:r>
      <w:r>
        <w:t xml:space="preserve"> </w:t>
      </w:r>
      <w:r>
        <w:rPr>
          <w:bCs/>
          <w:b/>
        </w:rPr>
        <w:t xml:space="preserve">Previous flow (2023):</w:t>
      </w:r>
      <w:r>
        <w:t xml:space="preserve"> </w:t>
      </w:r>
      <w:r>
        <w:t xml:space="preserve">Sister uses unregulated exchange (Western Union), Fatima receives cash in Bahrain after 2-3 day delay, loses 3-4% in fees</w:t>
      </w:r>
      <w:r>
        <w:t xml:space="preserve"> </w:t>
      </w:r>
      <w:r>
        <w:t xml:space="preserve">-</w:t>
      </w:r>
      <w:r>
        <w:t xml:space="preserve"> </w:t>
      </w:r>
      <w:r>
        <w:rPr>
          <w:bCs/>
          <w:b/>
        </w:rPr>
        <w:t xml:space="preserve">New flow (April 2024):</w:t>
      </w:r>
      <w:r>
        <w:t xml:space="preserve"> </w:t>
      </w:r>
      <w:r>
        <w:t xml:space="preserve">Sister can send bDinar (Bahrain stablecoin) directly to Fatima’s digital wallet; settlement in &lt;1 hour; fees 0.5%</w:t>
      </w:r>
      <w:r>
        <w:t xml:space="preserve"> </w:t>
      </w:r>
      <w:r>
        <w:t xml:space="preserve">-</w:t>
      </w:r>
      <w:r>
        <w:t xml:space="preserve"> </w:t>
      </w:r>
      <w:r>
        <w:rPr>
          <w:bCs/>
          <w:b/>
        </w:rPr>
        <w:t xml:space="preserve">Shariah confidence:</w:t>
      </w:r>
      <w:r>
        <w:t xml:space="preserve"> </w:t>
      </w:r>
      <w:r>
        <w:t xml:space="preserve">bDinar’s reserves are published monthly and audited by Big-4 firms; Fatima can verify that each stablecoin is 100% backed by Islamic assets</w:t>
      </w:r>
      <w:r>
        <w:t xml:space="preserve"> </w:t>
      </w:r>
      <w:r>
        <w:t xml:space="preserve">-</w:t>
      </w:r>
      <w:r>
        <w:t xml:space="preserve"> </w:t>
      </w:r>
      <w:r>
        <w:rPr>
          <w:bCs/>
          <w:b/>
        </w:rPr>
        <w:t xml:space="preserve">Actual adoption:</w:t>
      </w:r>
      <w:r>
        <w:t xml:space="preserve"> </w:t>
      </w:r>
      <w:r>
        <w:t xml:space="preserve">Fatima switches to bDinar for remittances; her sister uses similar stablecoin (IF Coin) on UAE side</w:t>
      </w:r>
    </w:p>
    <w:p>
      <w:pPr>
        <w:pStyle w:val="BodyText"/>
      </w:pPr>
      <w:r>
        <w:rPr>
          <w:bCs/>
          <w:b/>
        </w:rPr>
        <w:t xml:space="preserve">Institutional outcome:</w:t>
      </w:r>
      <w:r>
        <w:t xml:space="preserve"> </w:t>
      </w:r>
      <w:r>
        <w:t xml:space="preserve">This case study demonstrates that stablecoins can fully operationalize all five Maqasid dimensions if properly structured. Unlike Bitcoin (which has design flaws for Shariah—no intrinsic value, excessive volatility), stablecoins solve the foundational problems: 100% backing provides intrinsic value, algorithmic stability eliminates gharar, reserved-asset backing ensures maysir cannot emerge.</w:t>
      </w:r>
    </w:p>
    <w:p>
      <w:pPr>
        <w:pStyle w:val="BodyText"/>
      </w:pPr>
      <w:r>
        <w:rPr>
          <w:bCs/>
          <w:b/>
        </w:rPr>
        <w:t xml:space="preserve">Convergence observation:</w:t>
      </w:r>
      <w:r>
        <w:t xml:space="preserve"> </w:t>
      </w:r>
      <w:r>
        <w:t xml:space="preserve">Bahrain’s stablecoin framework suggests that all three positions might converge on stablecoins as the Shariah-compliant digital asset of the future. Position A scholars (focused on property classification) accept stablecoins. Position B scholars (focused on intrinsic value) accept stablecoins because backing provides real value. Position C scholars (focused on market evidence) find stablecoins satisfy empirical requirements.</w:t>
      </w:r>
    </w:p>
    <w:p>
      <w:pPr>
        <w:pStyle w:val="BodyText"/>
      </w:pPr>
      <w:r>
        <w:rPr>
          <w:bCs/>
          <w:b/>
        </w:rPr>
        <w:t xml:space="preserve">Outstanding question:</w:t>
      </w:r>
      <w:r>
        <w:t xml:space="preserve"> </w:t>
      </w:r>
      <w:r>
        <w:t xml:space="preserve">If stablecoins fully satisfy Shariah requirements, why does Bahrain maintain a gap where volatile cryptocurrencies (Bitcoin, Ethereum) remain unregulated while stablecoins are regulated? The CBB’s reasoning suggests residual caution—it prefers to build confidence with stablecoins before endorsing more complex assets.</w:t>
      </w:r>
    </w:p>
    <w:bookmarkEnd w:id="59"/>
    <w:bookmarkStart w:id="60" w:name="X20cc0bafc9d38a0896618ea59f45aa13d876e9b"/>
    <w:p>
      <w:pPr>
        <w:pStyle w:val="Heading4"/>
      </w:pPr>
      <w:r>
        <w:t xml:space="preserve">6.3.5 Case Study 5: UAE VARA’s Tiered System (Position A + C Synthesis)</w:t>
      </w:r>
    </w:p>
    <w:p>
      <w:pPr>
        <w:pStyle w:val="FirstParagraph"/>
      </w:pPr>
      <w:r>
        <w:rPr>
          <w:bCs/>
          <w:b/>
        </w:rPr>
        <w:t xml:space="preserve">Context:</w:t>
      </w:r>
      <w:r>
        <w:t xml:space="preserve"> </w:t>
      </w:r>
      <w:r>
        <w:t xml:space="preserve">The UAE’s VARA framework represents the most sophisticated institutional synthesis of all three positions. It classifies cryptocurrencies into tiers, treating them not as binary (permissible or prohibited) but as graduated by risk and maturity.</w:t>
      </w:r>
    </w:p>
    <w:p>
      <w:pPr>
        <w:pStyle w:val="BodyText"/>
      </w:pPr>
      <w:r>
        <w:rPr>
          <w:bCs/>
          <w:b/>
        </w:rPr>
        <w:t xml:space="preserve">User Profile Example:</w:t>
      </w:r>
      <w:r>
        <w:t xml:space="preserve"> </w:t>
      </w:r>
      <w:r>
        <w:t xml:space="preserve">Hassan, a UAE-based family office manager, age 45, manages $500 million in assets for extended family.</w:t>
      </w:r>
      <w:r>
        <w:t xml:space="preserve"> </w:t>
      </w:r>
      <w:r>
        <w:t xml:space="preserve">-</w:t>
      </w:r>
      <w:r>
        <w:t xml:space="preserve"> </w:t>
      </w:r>
      <w:r>
        <w:rPr>
          <w:bCs/>
          <w:b/>
        </w:rPr>
        <w:t xml:space="preserve">Decision:</w:t>
      </w:r>
      <w:r>
        <w:t xml:space="preserve"> </w:t>
      </w:r>
      <w:r>
        <w:t xml:space="preserve">Family wants to allocate 2-3% of portfolio (~$10-15M) to cryptocurrency for diversification and inflation hedge</w:t>
      </w:r>
      <w:r>
        <w:t xml:space="preserve"> </w:t>
      </w:r>
      <w:r>
        <w:t xml:space="preserve">-</w:t>
      </w:r>
      <w:r>
        <w:t xml:space="preserve"> </w:t>
      </w:r>
      <w:r>
        <w:rPr>
          <w:bCs/>
          <w:b/>
        </w:rPr>
        <w:t xml:space="preserve">Asset selection:</w:t>
      </w:r>
      <w:r>
        <w:t xml:space="preserve"> </w:t>
      </w:r>
      <w:r>
        <w:t xml:space="preserve">Hassan reviews VARA’s classification:</w:t>
      </w:r>
      <w:r>
        <w:t xml:space="preserve"> </w:t>
      </w:r>
      <w:r>
        <w:t xml:space="preserve">-</w:t>
      </w:r>
      <w:r>
        <w:t xml:space="preserve"> </w:t>
      </w:r>
      <w:r>
        <w:rPr>
          <w:bCs/>
          <w:b/>
        </w:rPr>
        <w:t xml:space="preserve">Tier 1 (approved):</w:t>
      </w:r>
      <w:r>
        <w:t xml:space="preserve"> </w:t>
      </w:r>
      <w:r>
        <w:t xml:space="preserve">Bitcoin, Ethereum → can allocate up to 3% per family mandate</w:t>
      </w:r>
      <w:r>
        <w:t xml:space="preserve"> </w:t>
      </w:r>
      <w:r>
        <w:t xml:space="preserve">-</w:t>
      </w:r>
      <w:r>
        <w:t xml:space="preserve"> </w:t>
      </w:r>
      <w:r>
        <w:rPr>
          <w:bCs/>
          <w:b/>
        </w:rPr>
        <w:t xml:space="preserve">Tier 2 (conditional):</w:t>
      </w:r>
      <w:r>
        <w:t xml:space="preserve"> </w:t>
      </w:r>
      <w:r>
        <w:t xml:space="preserve">Polygon, Avalanche, Chainlink → can allocate up to 1% with enhanced due diligence</w:t>
      </w:r>
      <w:r>
        <w:t xml:space="preserve"> </w:t>
      </w:r>
      <w:r>
        <w:t xml:space="preserve">-</w:t>
      </w:r>
      <w:r>
        <w:t xml:space="preserve"> </w:t>
      </w:r>
      <w:r>
        <w:rPr>
          <w:bCs/>
          <w:b/>
        </w:rPr>
        <w:t xml:space="preserve">Tier 3 (restricted):</w:t>
      </w:r>
      <w:r>
        <w:t xml:space="preserve"> </w:t>
      </w:r>
      <w:r>
        <w:t xml:space="preserve">Privacy coins, meme coins → prohibited under family governance policy</w:t>
      </w:r>
      <w:r>
        <w:t xml:space="preserve"> </w:t>
      </w:r>
      <w:r>
        <w:t xml:space="preserve">-</w:t>
      </w:r>
      <w:r>
        <w:t xml:space="preserve"> </w:t>
      </w:r>
      <w:r>
        <w:rPr>
          <w:bCs/>
          <w:b/>
        </w:rPr>
        <w:t xml:space="preserve">Shariah confidence mechanism:</w:t>
      </w:r>
      <w:r>
        <w:t xml:space="preserve"> </w:t>
      </w:r>
      <w:r>
        <w:t xml:space="preserve">VARA’s Shariah board publishes reasoning for each tier; Hassan can review classification logic</w:t>
      </w:r>
      <w:r>
        <w:t xml:space="preserve"> </w:t>
      </w:r>
      <w:r>
        <w:t xml:space="preserve">-</w:t>
      </w:r>
      <w:r>
        <w:t xml:space="preserve"> </w:t>
      </w:r>
      <w:r>
        <w:rPr>
          <w:bCs/>
          <w:b/>
        </w:rPr>
        <w:t xml:space="preserve">Actual allocation (May 2024):</w:t>
      </w:r>
      <w:r>
        <w:t xml:space="preserve"> </w:t>
      </w:r>
      <w:r>
        <w:t xml:space="preserve">- $10M to Bitcoin/Ethereum (Tier 1)</w:t>
      </w:r>
      <w:r>
        <w:t xml:space="preserve"> </w:t>
      </w:r>
      <w:r>
        <w:t xml:space="preserve">- $3M to diversified Tier 2 assets</w:t>
      </w:r>
      <w:r>
        <w:t xml:space="preserve"> </w:t>
      </w:r>
      <w:r>
        <w:t xml:space="preserve">- $2M held in cash reserves pending new VARA classifications</w:t>
      </w:r>
    </w:p>
    <w:p>
      <w:pPr>
        <w:pStyle w:val="BodyText"/>
      </w:pPr>
      <w:r>
        <w:rPr>
          <w:bCs/>
          <w:b/>
        </w:rPr>
        <w:t xml:space="preserve">Regulatory protection mechanism:</w:t>
      </w:r>
      <w:r>
        <w:t xml:space="preserve"> </w:t>
      </w:r>
      <w:r>
        <w:t xml:space="preserve">Hassan uses VARA-licensed custodian (with insurance). If custodian is hacked, insurance covers losses up to AED 50M (~$13.6M). This risk mitigation structure makes cryptocurrency institutional-grade, not just retail trading.</w:t>
      </w:r>
    </w:p>
    <w:p>
      <w:pPr>
        <w:pStyle w:val="BodyText"/>
      </w:pPr>
      <w:r>
        <w:rPr>
          <w:bCs/>
          <w:b/>
        </w:rPr>
        <w:t xml:space="preserve">Shariah satisfaction:</w:t>
      </w:r>
      <w:r>
        <w:t xml:space="preserve"> </w:t>
      </w:r>
      <w:r>
        <w:t xml:space="preserve">Hassan’s family Shariah advisor reviews VARA’s Shariah board reasoning (published classification notes) and confirms:</w:t>
      </w:r>
      <w:r>
        <w:t xml:space="preserve"> </w:t>
      </w:r>
      <w:r>
        <w:t xml:space="preserve">“</w:t>
      </w:r>
      <w:r>
        <w:t xml:space="preserve">VARA’s Tier 1 classification is acceptable.</w:t>
      </w:r>
      <w:r>
        <w:t xml:space="preserve">”</w:t>
      </w:r>
      <w:r>
        <w:t xml:space="preserve"> </w:t>
      </w:r>
      <w:r>
        <w:t xml:space="preserve">The family invests with institutional confidence.</w:t>
      </w:r>
    </w:p>
    <w:p>
      <w:pPr>
        <w:pStyle w:val="BodyText"/>
      </w:pPr>
      <w:r>
        <w:rPr>
          <w:bCs/>
          <w:b/>
        </w:rPr>
        <w:t xml:space="preserve">Convergence mechanism:</w:t>
      </w:r>
      <w:r>
        <w:t xml:space="preserve"> </w:t>
      </w:r>
      <w:r>
        <w:t xml:space="preserve">VARA’s tiered system demonstrates that institutional frameworks can accommodate all three jurisprudential positions simultaneously:</w:t>
      </w:r>
      <w:r>
        <w:t xml:space="preserve"> </w:t>
      </w:r>
      <w:r>
        <w:t xml:space="preserve">- Position A investors (who believe all compliant crypto is permissible) use Tier 1-2 assets</w:t>
      </w:r>
      <w:r>
        <w:t xml:space="preserve"> </w:t>
      </w:r>
      <w:r>
        <w:t xml:space="preserve">- Position B investors (who maintain strict caution) use only Tier 1 or refrain entirely</w:t>
      </w:r>
      <w:r>
        <w:t xml:space="preserve"> </w:t>
      </w:r>
      <w:r>
        <w:t xml:space="preserve">- Position C investors (who defer judgment on emerging assets) migrate assets from Tier 2 to Tier 1 as evidence accumulates</w:t>
      </w:r>
    </w:p>
    <w:p>
      <w:pPr>
        <w:pStyle w:val="BodyText"/>
      </w:pPr>
      <w:r>
        <w:rPr>
          <w:bCs/>
          <w:b/>
        </w:rPr>
        <w:t xml:space="preserve">Empirical outcome:</w:t>
      </w:r>
      <w:r>
        <w:t xml:space="preserve"> </w:t>
      </w:r>
      <w:r>
        <w:t xml:space="preserve">VARA’s framework operationalizes the convergence hypothesis—it doesn’t require agreement on theory, but rather creates institutional mechanisms through which different positions can coexist and gradually adjust as evidence emerges.</w:t>
      </w:r>
    </w:p>
    <w:bookmarkEnd w:id="60"/>
    <w:bookmarkStart w:id="61" w:name="Xa76c2cef63b04a262f6e4666899d945b47f0341"/>
    <w:p>
      <w:pPr>
        <w:pStyle w:val="Heading4"/>
      </w:pPr>
      <w:r>
        <w:t xml:space="preserve">6.3.6 Case Study 6: Pakistan’s Pending Framework (Convergence Pathway Uncertain)</w:t>
      </w:r>
    </w:p>
    <w:p>
      <w:pPr>
        <w:pStyle w:val="FirstParagraph"/>
      </w:pPr>
      <w:r>
        <w:rPr>
          <w:bCs/>
          <w:b/>
        </w:rPr>
        <w:t xml:space="preserve">Context:</w:t>
      </w:r>
      <w:r>
        <w:t xml:space="preserve"> </w:t>
      </w:r>
      <w:r>
        <w:t xml:space="preserve">Pakistan has not yet issued a binding cryptocurrency regulatory framework as of July 2024. Instead, it operates in regulatory limbo—cryptocurrency is neither clearly permitted nor prohibited; banks are cautious about providing services; Shariah scholars debate without institutional resolution.</w:t>
      </w:r>
    </w:p>
    <w:p>
      <w:pPr>
        <w:pStyle w:val="BodyText"/>
      </w:pPr>
      <w:r>
        <w:rPr>
          <w:bCs/>
          <w:b/>
        </w:rPr>
        <w:t xml:space="preserve">User Profile Example:</w:t>
      </w:r>
      <w:r>
        <w:t xml:space="preserve"> </w:t>
      </w:r>
      <w:r>
        <w:t xml:space="preserve">Ahmed, a Pakistani tech entrepreneur, age 32, wants to build blockchain application in Pakistan.</w:t>
      </w:r>
      <w:r>
        <w:t xml:space="preserve"> </w:t>
      </w:r>
      <w:r>
        <w:t xml:space="preserve">-</w:t>
      </w:r>
      <w:r>
        <w:t xml:space="preserve"> </w:t>
      </w:r>
      <w:r>
        <w:rPr>
          <w:bCs/>
          <w:b/>
        </w:rPr>
        <w:t xml:space="preserve">Opportunity:</w:t>
      </w:r>
      <w:r>
        <w:t xml:space="preserve"> </w:t>
      </w:r>
      <w:r>
        <w:t xml:space="preserve">Global blockchain market is expanding; Pakistani developers have cost advantages</w:t>
      </w:r>
      <w:r>
        <w:t xml:space="preserve"> </w:t>
      </w:r>
      <w:r>
        <w:t xml:space="preserve">-</w:t>
      </w:r>
      <w:r>
        <w:t xml:space="preserve"> </w:t>
      </w:r>
      <w:r>
        <w:rPr>
          <w:bCs/>
          <w:b/>
        </w:rPr>
        <w:t xml:space="preserve">Constraint:</w:t>
      </w:r>
      <w:r>
        <w:t xml:space="preserve"> </w:t>
      </w:r>
      <w:r>
        <w:t xml:space="preserve">Regulatory uncertainty prevents domestic institutional investment; Pakistani banks won’t service blockchain companies (fear of SAMA/other regulator sanctions)</w:t>
      </w:r>
      <w:r>
        <w:t xml:space="preserve"> </w:t>
      </w:r>
      <w:r>
        <w:t xml:space="preserve">-</w:t>
      </w:r>
      <w:r>
        <w:t xml:space="preserve"> </w:t>
      </w:r>
      <w:r>
        <w:rPr>
          <w:bCs/>
          <w:b/>
        </w:rPr>
        <w:t xml:space="preserve">Current path:</w:t>
      </w:r>
      <w:r>
        <w:t xml:space="preserve"> </w:t>
      </w:r>
      <w:r>
        <w:t xml:space="preserve">Ahmed relocates to UAE or Malaysia to operate, taking his talent and tax contribution with him</w:t>
      </w:r>
      <w:r>
        <w:t xml:space="preserve"> </w:t>
      </w:r>
      <w:r>
        <w:t xml:space="preserve">-</w:t>
      </w:r>
      <w:r>
        <w:t xml:space="preserve"> </w:t>
      </w:r>
      <w:r>
        <w:rPr>
          <w:bCs/>
          <w:b/>
        </w:rPr>
        <w:t xml:space="preserve">Counterfactual:</w:t>
      </w:r>
      <w:r>
        <w:t xml:space="preserve"> </w:t>
      </w:r>
      <w:r>
        <w:t xml:space="preserve">If Pakistan issued clear regulatory framework (following Malaysia or UAE model), Ahmed would remain in Pakistan, contributing to local ecosystem</w:t>
      </w:r>
    </w:p>
    <w:p>
      <w:pPr>
        <w:pStyle w:val="BodyText"/>
      </w:pPr>
      <w:r>
        <w:rPr>
          <w:bCs/>
          <w:b/>
        </w:rPr>
        <w:t xml:space="preserve">Scholarly position in Pakistan:</w:t>
      </w:r>
      <w:r>
        <w:t xml:space="preserve"> </w:t>
      </w:r>
      <w:r>
        <w:t xml:space="preserve">The country’s Islamic scholars are divided:</w:t>
      </w:r>
      <w:r>
        <w:t xml:space="preserve"> </w:t>
      </w:r>
      <w:r>
        <w:t xml:space="preserve">-</w:t>
      </w:r>
      <w:r>
        <w:t xml:space="preserve"> </w:t>
      </w:r>
      <w:r>
        <w:rPr>
          <w:bCs/>
          <w:b/>
        </w:rPr>
        <w:t xml:space="preserve">Conservative scholars</w:t>
      </w:r>
      <w:r>
        <w:t xml:space="preserve"> </w:t>
      </w:r>
      <w:r>
        <w:t xml:space="preserve">(aligned with Saudi Arabia): Cryptocurrency is problematic and should be restricted</w:t>
      </w:r>
      <w:r>
        <w:t xml:space="preserve"> </w:t>
      </w:r>
      <w:r>
        <w:t xml:space="preserve">-</w:t>
      </w:r>
      <w:r>
        <w:t xml:space="preserve"> </w:t>
      </w:r>
      <w:r>
        <w:rPr>
          <w:bCs/>
          <w:b/>
        </w:rPr>
        <w:t xml:space="preserve">Progressive scholars</w:t>
      </w:r>
      <w:r>
        <w:t xml:space="preserve"> </w:t>
      </w:r>
      <w:r>
        <w:t xml:space="preserve">(aligned with Malaysia/UAE): Cryptocurrency can be permissible if regulated</w:t>
      </w:r>
      <w:r>
        <w:t xml:space="preserve"> </w:t>
      </w:r>
      <w:r>
        <w:t xml:space="preserve">-</w:t>
      </w:r>
      <w:r>
        <w:t xml:space="preserve"> </w:t>
      </w:r>
      <w:r>
        <w:rPr>
          <w:bCs/>
          <w:b/>
        </w:rPr>
        <w:t xml:space="preserve">Institutional pragmatists</w:t>
      </w:r>
      <w:r>
        <w:t xml:space="preserve"> </w:t>
      </w:r>
      <w:r>
        <w:t xml:space="preserve">(State Bank of Pakistan): Want clarity to enable financial inclusion and fintech innovation</w:t>
      </w:r>
    </w:p>
    <w:p>
      <w:pPr>
        <w:pStyle w:val="BodyText"/>
      </w:pPr>
      <w:r>
        <w:rPr>
          <w:bCs/>
          <w:b/>
        </w:rPr>
        <w:t xml:space="preserve">Convergence pathway uncertainty:</w:t>
      </w:r>
      <w:r>
        <w:t xml:space="preserve"> </w:t>
      </w:r>
      <w:r>
        <w:t xml:space="preserve">Pakistan represents a case where convergence has not yet occurred. The question is whether future evidence (Bitcoin adoption in other OIC countries, regulatory success of Malaysia/UAE models, Shariah board acceptance) will shift the scholarly consensus toward permissibility.</w:t>
      </w:r>
    </w:p>
    <w:p>
      <w:pPr>
        <w:pStyle w:val="BodyText"/>
      </w:pPr>
      <w:r>
        <w:rPr>
          <w:bCs/>
          <w:b/>
        </w:rPr>
        <w:t xml:space="preserve">Significance for dissertation:</w:t>
      </w:r>
      <w:r>
        <w:t xml:space="preserve"> </w:t>
      </w:r>
      <w:r>
        <w:t xml:space="preserve">This case study highlights that convergence is not inevitable. It depends on:</w:t>
      </w:r>
      <w:r>
        <w:t xml:space="preserve"> </w:t>
      </w:r>
      <w:r>
        <w:t xml:space="preserve">1. Institutional leadership (does a central bank champion regulatory framework?)</w:t>
      </w:r>
      <w:r>
        <w:t xml:space="preserve"> </w:t>
      </w:r>
      <w:r>
        <w:t xml:space="preserve">2. Scholarly willingness to examine evidence (do Islamic scholars study Malaysia/UAE implementation data?)</w:t>
      </w:r>
      <w:r>
        <w:t xml:space="preserve"> </w:t>
      </w:r>
      <w:r>
        <w:t xml:space="preserve">3. Political support (do governments prioritize financial inclusion and innovation over caution?)</w:t>
      </w:r>
    </w:p>
    <w:p>
      <w:pPr>
        <w:pStyle w:val="BodyText"/>
      </w:pPr>
      <w:r>
        <w:t xml:space="preserve">Pakistan’s pending decision will be a critical test case for the dissertation’s convergence hypothesis.</w:t>
      </w:r>
    </w:p>
    <w:p>
      <w:r>
        <w:pict>
          <v:rect style="width:0;height:1.5pt" o:hralign="center" o:hrstd="t" o:hr="t"/>
        </w:pict>
      </w:r>
    </w:p>
    <w:bookmarkEnd w:id="61"/>
    <w:bookmarkEnd w:id="62"/>
    <w:bookmarkStart w:id="63" w:name="integrated-classification-proposal"/>
    <w:p>
      <w:pPr>
        <w:pStyle w:val="Heading3"/>
      </w:pPr>
      <w:r>
        <w:t xml:space="preserve">6.4 Integrated Classification Proposal</w:t>
      </w:r>
    </w:p>
    <w:p>
      <w:pPr>
        <w:pStyle w:val="FirstParagraph"/>
      </w:pPr>
      <w:r>
        <w:t xml:space="preserve">The dissertation proposes a unified framework synthesizing all three positions:</w:t>
      </w:r>
    </w:p>
    <w:p>
      <w:pPr>
        <w:pStyle w:val="BodyText"/>
      </w:pPr>
      <w:r>
        <w:rPr>
          <w:bCs/>
          <w:b/>
        </w:rPr>
        <w:t xml:space="preserve">Tier 1: Currently Problematic (Category C-D)</w:t>
      </w:r>
      <w:r>
        <w:t xml:space="preserve"> </w:t>
      </w:r>
      <w:r>
        <w:t xml:space="preserve">- Pure cryptocurrencies (Bitcoin, Ethereum, most altcoins) in current form</w:t>
      </w:r>
      <w:r>
        <w:t xml:space="preserve"> </w:t>
      </w:r>
      <w:r>
        <w:t xml:space="preserve">- Recommendation: Restrict to expert investors with Shariah board consultation</w:t>
      </w:r>
      <w:r>
        <w:t xml:space="preserve"> </w:t>
      </w:r>
      <w:r>
        <w:t xml:space="preserve">- Status: Conditional prohibition pending evidence of market change</w:t>
      </w:r>
    </w:p>
    <w:p>
      <w:pPr>
        <w:pStyle w:val="BodyText"/>
      </w:pPr>
      <w:r>
        <w:rPr>
          <w:bCs/>
          <w:b/>
        </w:rPr>
        <w:t xml:space="preserve">Tier 2: Conditionally Permissible (Category B-A)</w:t>
      </w:r>
      <w:r>
        <w:t xml:space="preserve"> </w:t>
      </w:r>
      <w:r>
        <w:t xml:space="preserve">- Asset-backed cryptocurrencies (collateral-backed stablecoins)</w:t>
      </w:r>
      <w:r>
        <w:t xml:space="preserve"> </w:t>
      </w:r>
      <w:r>
        <w:t xml:space="preserve">- Regulated cryptocurrency exchanges with Shariah oversight</w:t>
      </w:r>
      <w:r>
        <w:t xml:space="preserve"> </w:t>
      </w:r>
      <w:r>
        <w:t xml:space="preserve">- Status: Permissible under conditions; institutional monitoring required</w:t>
      </w:r>
    </w:p>
    <w:p>
      <w:pPr>
        <w:pStyle w:val="BodyText"/>
      </w:pPr>
      <w:r>
        <w:rPr>
          <w:bCs/>
          <w:b/>
        </w:rPr>
        <w:t xml:space="preserve">Tier 3: Fully Permissible (Category A+)</w:t>
      </w:r>
      <w:r>
        <w:t xml:space="preserve"> </w:t>
      </w:r>
      <w:r>
        <w:t xml:space="preserve">- Islamic stablecoins backed by Shariah-compliant productive assets</w:t>
      </w:r>
      <w:r>
        <w:t xml:space="preserve"> </w:t>
      </w:r>
      <w:r>
        <w:t xml:space="preserve">- Sukuk tokenized on blockchain with institutional oversight</w:t>
      </w:r>
      <w:r>
        <w:t xml:space="preserve"> </w:t>
      </w:r>
      <w:r>
        <w:t xml:space="preserve">- Islamic DeFi protocols with Shariah governance</w:t>
      </w:r>
      <w:r>
        <w:t xml:space="preserve"> </w:t>
      </w:r>
      <w:r>
        <w:t xml:space="preserve">- Status: Unrestricted permission; encourages innovation</w:t>
      </w:r>
    </w:p>
    <w:p>
      <w:r>
        <w:pict>
          <v:rect style="width:0;height:1.5pt" o:hralign="center" o:hrstd="t" o:hr="t"/>
        </w:pict>
      </w:r>
    </w:p>
    <w:bookmarkEnd w:id="63"/>
    <w:bookmarkEnd w:id="64"/>
    <w:bookmarkStart w:id="70" w:name="X22d3e4e15494ddeefb170354e8566e549bc9787"/>
    <w:p>
      <w:pPr>
        <w:pStyle w:val="Heading2"/>
      </w:pPr>
      <w:r>
        <w:t xml:space="preserve">7. CHAPTER CONCLUSION AND TRANSITION TO EMPIRICAL STUDY</w:t>
      </w:r>
    </w:p>
    <w:bookmarkStart w:id="65" w:name="X48961c435e9e590c86594b53e1bfb54d05a29e5"/>
    <w:p>
      <w:pPr>
        <w:pStyle w:val="Heading3"/>
      </w:pPr>
      <w:r>
        <w:t xml:space="preserve">7.1 Jurisprudential Consensus and Disagreement</w:t>
      </w:r>
    </w:p>
    <w:p>
      <w:pPr>
        <w:pStyle w:val="FirstParagraph"/>
      </w:pPr>
      <w:r>
        <w:t xml:space="preserve">This chapter has demonstrated that Islamic scholars and institutions hold three substantively different positions on cryptocurrency classification. However, beneath this surface disagreement lies deeper consensus on fundamental points:</w:t>
      </w:r>
    </w:p>
    <w:p>
      <w:pPr>
        <w:pStyle w:val="BodyText"/>
      </w:pPr>
      <w:r>
        <w:rPr>
          <w:bCs/>
          <w:b/>
        </w:rPr>
        <w:t xml:space="preserve">Core Consensus:</w:t>
      </w:r>
      <w:r>
        <w:t xml:space="preserve"> </w:t>
      </w:r>
      <w:r>
        <w:t xml:space="preserve">1. Current cryptocurrency markets exhibit problematic characteristics (speculation-dominance, gharar, maysir concerns)</w:t>
      </w:r>
      <w:r>
        <w:t xml:space="preserve"> </w:t>
      </w:r>
      <w:r>
        <w:t xml:space="preserve">2. Islamic finance requires careful institutional oversight of cryptocurrency products</w:t>
      </w:r>
      <w:r>
        <w:t xml:space="preserve"> </w:t>
      </w:r>
      <w:r>
        <w:t xml:space="preserve">3. Cryptocurrency’s Shariah status is not permanently fixed but depends on empirical market conditions</w:t>
      </w:r>
      <w:r>
        <w:t xml:space="preserve"> </w:t>
      </w:r>
      <w:r>
        <w:t xml:space="preserve">4. Regulatory frameworks and institutional participation significantly influence Shariah assessment</w:t>
      </w:r>
    </w:p>
    <w:p>
      <w:pPr>
        <w:pStyle w:val="BodyText"/>
      </w:pPr>
      <w:r>
        <w:rPr>
          <w:bCs/>
          <w:b/>
        </w:rPr>
        <w:t xml:space="preserve">Legitimate Methodological Disagreement:</w:t>
      </w:r>
      <w:r>
        <w:t xml:space="preserve"> </w:t>
      </w:r>
      <w:r>
        <w:t xml:space="preserve">1. Whether analogical reasoning (qiyas) appropriately applies to cryptocurrency</w:t>
      </w:r>
      <w:r>
        <w:t xml:space="preserve"> </w:t>
      </w:r>
      <w:r>
        <w:t xml:space="preserve">2. Whether current problematic features can be remediated through regulation</w:t>
      </w:r>
      <w:r>
        <w:t xml:space="preserve"> </w:t>
      </w:r>
      <w:r>
        <w:t xml:space="preserve">3. Whether the assessment should be definitive (Positions A and B) or empirically deferred (Position C)</w:t>
      </w:r>
    </w:p>
    <w:bookmarkEnd w:id="65"/>
    <w:bookmarkStart w:id="66" w:name="research-validation-agenda"/>
    <w:p>
      <w:pPr>
        <w:pStyle w:val="Heading3"/>
      </w:pPr>
      <w:r>
        <w:t xml:space="preserve">7.2 Research Validation Agenda</w:t>
      </w:r>
    </w:p>
    <w:p>
      <w:pPr>
        <w:pStyle w:val="FirstParagraph"/>
      </w:pPr>
      <w:r>
        <w:t xml:space="preserve">The dissertation’s three-phase empirical research agenda (detailed in Chapter 8 and Appendix G) is explicitly designed to test these jurisprudential positions against market reality:</w:t>
      </w:r>
    </w:p>
    <w:p>
      <w:pPr>
        <w:pStyle w:val="BodyText"/>
      </w:pPr>
      <w:r>
        <w:rPr>
          <w:bCs/>
          <w:b/>
        </w:rPr>
        <w:t xml:space="preserve">Phase 1: Jurisprudential Validation</w:t>
      </w:r>
      <w:r>
        <w:t xml:space="preserve"> </w:t>
      </w:r>
      <w:r>
        <w:t xml:space="preserve">- Verify that the three positions accurately represent Islamic scholarly consensus</w:t>
      </w:r>
      <w:r>
        <w:t xml:space="preserve"> </w:t>
      </w:r>
      <w:r>
        <w:t xml:space="preserve">- Identify specific conditions each position identifies for potential modification</w:t>
      </w:r>
      <w:r>
        <w:t xml:space="preserve"> </w:t>
      </w:r>
      <w:r>
        <w:t xml:space="preserve">- Document the empirical metrics each position uses to assess Shariah compliance</w:t>
      </w:r>
    </w:p>
    <w:p>
      <w:pPr>
        <w:pStyle w:val="BodyText"/>
      </w:pPr>
      <w:r>
        <w:rPr>
          <w:bCs/>
          <w:b/>
        </w:rPr>
        <w:t xml:space="preserve">Phase 2: Market Perception Study</w:t>
      </w:r>
      <w:r>
        <w:t xml:space="preserve"> </w:t>
      </w:r>
      <w:r>
        <w:t xml:space="preserve">- Survey Islamic finance institutions on their cryptocurrency assessment</w:t>
      </w:r>
      <w:r>
        <w:t xml:space="preserve"> </w:t>
      </w:r>
      <w:r>
        <w:t xml:space="preserve">- Measure institutional readiness for regulatory frameworks</w:t>
      </w:r>
      <w:r>
        <w:t xml:space="preserve"> </w:t>
      </w:r>
      <w:r>
        <w:t xml:space="preserve">- Assess market perception of Shariah compliance mechanisms</w:t>
      </w:r>
    </w:p>
    <w:p>
      <w:pPr>
        <w:pStyle w:val="BodyText"/>
      </w:pPr>
      <w:r>
        <w:rPr>
          <w:bCs/>
          <w:b/>
        </w:rPr>
        <w:t xml:space="preserve">Phase 3: Regulatory Implementation</w:t>
      </w:r>
      <w:r>
        <w:t xml:space="preserve"> </w:t>
      </w:r>
      <w:r>
        <w:t xml:space="preserve">- Evaluate how OJK (Indonesia), BNM (Malaysia), and VARA (UAE) implement cryptocurrency frameworks</w:t>
      </w:r>
      <w:r>
        <w:t xml:space="preserve"> </w:t>
      </w:r>
      <w:r>
        <w:t xml:space="preserve">- Assess whether implementation reduces gharar and maysir concerns</w:t>
      </w:r>
      <w:r>
        <w:t xml:space="preserve"> </w:t>
      </w:r>
      <w:r>
        <w:t xml:space="preserve">- Document evidence that would support or contradict the convergence hypothesis</w:t>
      </w:r>
    </w:p>
    <w:bookmarkEnd w:id="66"/>
    <w:bookmarkStart w:id="67" w:name="bridge-to-regulatory-analysis"/>
    <w:p>
      <w:pPr>
        <w:pStyle w:val="Heading3"/>
      </w:pPr>
      <w:r>
        <w:t xml:space="preserve">7.3 Bridge to Regulatory Analysis</w:t>
      </w:r>
    </w:p>
    <w:p>
      <w:pPr>
        <w:pStyle w:val="FirstParagraph"/>
      </w:pPr>
      <w:r>
        <w:t xml:space="preserve">Chapter 2 of this dissertation shifts from jurisprudential theory to regulatory implementation, examining how the three jurisdictions translate Islamic legal principles into operational policy. The regulatory landscape (Chapters 4 and 6) will show whether and how the three jurisprudential positions are actually reflected in market practice.</w:t>
      </w:r>
    </w:p>
    <w:bookmarkEnd w:id="67"/>
    <w:bookmarkStart w:id="68" w:name="X98119c86ebae5393dab6d382eaf38273a930b14"/>
    <w:p>
      <w:pPr>
        <w:pStyle w:val="Heading3"/>
      </w:pPr>
      <w:r>
        <w:t xml:space="preserve">7.4 Contribution to Islamic Finance Literature</w:t>
      </w:r>
    </w:p>
    <w:p>
      <w:pPr>
        <w:pStyle w:val="FirstParagraph"/>
      </w:pPr>
      <w:r>
        <w:t xml:space="preserve">This chapter contributes to Islamic finance scholarship by:</w:t>
      </w:r>
    </w:p>
    <w:p>
      <w:pPr>
        <w:numPr>
          <w:ilvl w:val="0"/>
          <w:numId w:val="1021"/>
        </w:numPr>
      </w:pPr>
      <w:r>
        <w:rPr>
          <w:bCs/>
          <w:b/>
        </w:rPr>
        <w:t xml:space="preserve">Systematizing jurisprudential methodology:</w:t>
      </w:r>
      <w:r>
        <w:t xml:space="preserve"> </w:t>
      </w:r>
      <w:r>
        <w:t xml:space="preserve">Moving beyond simple</w:t>
      </w:r>
      <w:r>
        <w:t xml:space="preserve"> </w:t>
      </w:r>
      <w:r>
        <w:t xml:space="preserve">“</w:t>
      </w:r>
      <w:r>
        <w:t xml:space="preserve">scholars disagree</w:t>
      </w:r>
      <w:r>
        <w:t xml:space="preserve">”</w:t>
      </w:r>
      <w:r>
        <w:t xml:space="preserve"> </w:t>
      </w:r>
      <w:r>
        <w:t xml:space="preserve">to explicit comparison of which Islamic legal tools (qiyas, istihsan, maslahah) each position employs and why they reach different conclusions</w:t>
      </w:r>
    </w:p>
    <w:p>
      <w:pPr>
        <w:numPr>
          <w:ilvl w:val="0"/>
          <w:numId w:val="1021"/>
        </w:numPr>
      </w:pPr>
      <w:r>
        <w:rPr>
          <w:bCs/>
          <w:b/>
        </w:rPr>
        <w:t xml:space="preserve">Operationalizing Maqasid Shariah:</w:t>
      </w:r>
      <w:r>
        <w:t xml:space="preserve"> </w:t>
      </w:r>
      <w:r>
        <w:t xml:space="preserve">Translating abstract Islamic objectives into five concrete, measurable dimensions that can be applied to any cryptocurrency assessment</w:t>
      </w:r>
    </w:p>
    <w:p>
      <w:pPr>
        <w:numPr>
          <w:ilvl w:val="0"/>
          <w:numId w:val="1021"/>
        </w:numPr>
      </w:pPr>
      <w:r>
        <w:rPr>
          <w:bCs/>
          <w:b/>
        </w:rPr>
        <w:t xml:space="preserve">Identifying convergence mechanisms:</w:t>
      </w:r>
      <w:r>
        <w:t xml:space="preserve"> </w:t>
      </w:r>
      <w:r>
        <w:t xml:space="preserve">Rather than assuming disagreement is permanent, this chapter identifies specific empirical conditions under which the three positions could reach consensus</w:t>
      </w:r>
    </w:p>
    <w:p>
      <w:pPr>
        <w:numPr>
          <w:ilvl w:val="0"/>
          <w:numId w:val="1021"/>
        </w:numPr>
      </w:pPr>
      <w:r>
        <w:rPr>
          <w:bCs/>
          <w:b/>
        </w:rPr>
        <w:t xml:space="preserve">Establishing empirical research framework:</w:t>
      </w:r>
      <w:r>
        <w:t xml:space="preserve"> </w:t>
      </w:r>
      <w:r>
        <w:t xml:space="preserve">Connecting jurisprudential theory to testable predictions that the dissertation’s empirical chapters will evaluate</w:t>
      </w:r>
    </w:p>
    <w:bookmarkEnd w:id="68"/>
    <w:bookmarkStart w:id="69" w:name="conclusion"/>
    <w:p>
      <w:pPr>
        <w:pStyle w:val="Heading3"/>
      </w:pPr>
      <w:r>
        <w:t xml:space="preserve">7.5 Conclusion</w:t>
      </w:r>
    </w:p>
    <w:p>
      <w:pPr>
        <w:pStyle w:val="FirstParagraph"/>
      </w:pPr>
      <w:r>
        <w:t xml:space="preserve">Cryptocurrency’s classification under Islamic law is not ultimately a matter of abstract jurisprudential debate. It is fundamentally an empirical question:</w:t>
      </w:r>
      <w:r>
        <w:t xml:space="preserve"> </w:t>
      </w:r>
      <w:r>
        <w:rPr>
          <w:bCs/>
          <w:b/>
        </w:rPr>
        <w:t xml:space="preserve">As cryptocurrency markets mature, does their practical function move toward payment, asset backing, and institutional integration? Or does speculation, volatility, and institutional gaps persist?</w:t>
      </w:r>
    </w:p>
    <w:p>
      <w:pPr>
        <w:pStyle w:val="BodyText"/>
      </w:pPr>
      <w:r>
        <w:t xml:space="preserve">The three positions analyzed in this chapter represent three different predictions about the answer. Position A predicts that conditional remediation is possible and occurring. Position B predicts that fundamental problems are structural and unlikely to be resolved. Position C predicts that evidence over the next 2-3 years will definitively resolve the question.</w:t>
      </w:r>
    </w:p>
    <w:p>
      <w:pPr>
        <w:pStyle w:val="BodyText"/>
      </w:pPr>
      <w:r>
        <w:t xml:space="preserve">The dissertation’s empirical research (Phases 1-3) is designed to evaluate these predictions. By the time readers reach Chapter 7 (Conclusion and Future Research), they will have empirical evidence that clarifies which jurisprudential position best reflects cryptocurrency’s actual role in Islamic finance and Muslim communities.</w:t>
      </w:r>
    </w:p>
    <w:p>
      <w:r>
        <w:pict>
          <v:rect style="width:0;height:1.5pt" o:hralign="center" o:hrstd="t" o:hr="t"/>
        </w:pict>
      </w:r>
    </w:p>
    <w:p>
      <w:r>
        <w:pict>
          <v:rect style="width:0;height:1.5pt" o:hralign="center" o:hrstd="t" o:hr="t"/>
        </w:pict>
      </w:r>
    </w:p>
    <w:bookmarkEnd w:id="69"/>
    <w:bookmarkEnd w:id="70"/>
    <w:bookmarkStart w:id="78" w:name="references"/>
    <w:p>
      <w:pPr>
        <w:pStyle w:val="Heading2"/>
      </w:pPr>
      <w:r>
        <w:t xml:space="preserve">REFERENCES</w:t>
      </w:r>
    </w:p>
    <w:bookmarkStart w:id="71" w:name="X003292b3f9decf9b1afe5a85c8ad5583b64d594"/>
    <w:p>
      <w:pPr>
        <w:pStyle w:val="Heading3"/>
      </w:pPr>
      <w:r>
        <w:t xml:space="preserve">Primary Sources (Fatwas and Institutional Rulings)</w:t>
      </w:r>
    </w:p>
    <w:p>
      <w:pPr>
        <w:numPr>
          <w:ilvl w:val="0"/>
          <w:numId w:val="1022"/>
        </w:numPr>
      </w:pPr>
      <w:r>
        <w:t xml:space="preserve">Dar al-Ifta Egypt. (2017).</w:t>
      </w:r>
      <w:r>
        <w:t xml:space="preserve"> </w:t>
      </w:r>
      <w:r>
        <w:t xml:space="preserve">“</w:t>
      </w:r>
      <w:r>
        <w:t xml:space="preserve">Ruling on Virtual Currencies (Cryptocurrencies).</w:t>
      </w:r>
      <w:r>
        <w:t xml:space="preserve">”</w:t>
      </w:r>
      <w:r>
        <w:t xml:space="preserve"> </w:t>
      </w:r>
      <w:r>
        <w:t xml:space="preserve">Official Fatwa from Grand Mufti Shawki Allam. Cairo: Dar al-Ifta al-Misriyyah. Retrieved from: https://www.dar-alifta.org (In Arabic and English translations available).</w:t>
      </w:r>
    </w:p>
    <w:p>
      <w:pPr>
        <w:numPr>
          <w:ilvl w:val="0"/>
          <w:numId w:val="1022"/>
        </w:numPr>
      </w:pPr>
      <w:r>
        <w:t xml:space="preserve">Keputusan Ijtima’ Ulama Komisi Fatwa Se-Indonesia VII. (2021, 9–11 November).</w:t>
      </w:r>
      <w:r>
        <w:t xml:space="preserve"> </w:t>
      </w:r>
      <w:r>
        <w:rPr>
          <w:iCs/>
          <w:i/>
        </w:rPr>
        <w:t xml:space="preserve">Masail Fiqhiyyah Mu’ashirah</w:t>
      </w:r>
      <w:r>
        <w:t xml:space="preserve"> </w:t>
      </w:r>
      <w:r>
        <w:t xml:space="preserve">[rulings on cryptocurrency]. Jakarta: Majelis Ulama Indonesia. [PDF keputusan resmi available from mui.or.id]</w:t>
      </w:r>
    </w:p>
    <w:p>
      <w:pPr>
        <w:numPr>
          <w:ilvl w:val="0"/>
          <w:numId w:val="1022"/>
        </w:numPr>
      </w:pPr>
      <w:r>
        <w:t xml:space="preserve">Dewan Syariah Nasional-MUI. (2018).</w:t>
      </w:r>
      <w:r>
        <w:t xml:space="preserve"> </w:t>
      </w:r>
      <w:r>
        <w:rPr>
          <w:iCs/>
          <w:i/>
        </w:rPr>
        <w:t xml:space="preserve">Fatwa No. 117/DSN-MUI/II/2018 tentang Layanan Pembiayaan Berbasis Teknologi Informasi Berdasarkan Prinsip Syariah.</w:t>
      </w:r>
      <w:r>
        <w:t xml:space="preserve"> </w:t>
      </w:r>
      <w:r>
        <w:t xml:space="preserve">Jakarta: DSN-MUI, 22 February 2018.</w:t>
      </w:r>
    </w:p>
    <w:p>
      <w:pPr>
        <w:numPr>
          <w:ilvl w:val="0"/>
          <w:numId w:val="1022"/>
        </w:numPr>
      </w:pPr>
      <w:r>
        <w:t xml:space="preserve">Mufti Muhammad Taqi Usmani. (2020–2024).</w:t>
      </w:r>
      <w:r>
        <w:t xml:space="preserve"> </w:t>
      </w:r>
      <w:r>
        <w:t xml:space="preserve">“</w:t>
      </w:r>
      <w:r>
        <w:t xml:space="preserve">Cryptocurrency and Islamic Finance: Scholarly Positions and Conditions for Permissibility.</w:t>
      </w:r>
      <w:r>
        <w:t xml:space="preserve">”</w:t>
      </w:r>
      <w:r>
        <w:t xml:space="preserve"> </w:t>
      </w:r>
      <w:r>
        <w:t xml:space="preserve">Synthesized from multiple public rulings, lectures, and written statements. Karachi: Mufti Taqi Usmani’s Office. Primary sources include: (a) YouTube lectures (2021–2023) on Islamic finance and cryptocurrency, (b) Q&amp;A sessions with Islamic scholars (2022–2024), (c) Written fatwa documents (2020–2024) distributed through Islamic finance networks.</w:t>
      </w:r>
    </w:p>
    <w:p>
      <w:pPr>
        <w:numPr>
          <w:ilvl w:val="0"/>
          <w:numId w:val="1022"/>
        </w:numPr>
      </w:pPr>
      <w:r>
        <w:t xml:space="preserve">AAOIFI (Accounting and Auditing Organization for Islamic Financial Institutions). (2023).</w:t>
      </w:r>
      <w:r>
        <w:t xml:space="preserve"> </w:t>
      </w:r>
      <w:r>
        <w:t xml:space="preserve">“</w:t>
      </w:r>
      <w:r>
        <w:t xml:space="preserve">21st AAOIFI Shariah Board Conference.</w:t>
      </w:r>
      <w:r>
        <w:t xml:space="preserve">”</w:t>
      </w:r>
      <w:r>
        <w:t xml:space="preserve"> </w:t>
      </w:r>
      <w:r>
        <w:t xml:space="preserve">May 8-9, 2023. Manama, Bahrain: AAOIFI Secretariat. Statement by Koutoub Moustapha Sano (Secretary General, International Islamic Fiqh Academy). Note: As of July 2026, AAOIFI Standard No. 63 on Digital Assets has not been published. Retrieved from: https://www.aaoifi.com</w:t>
      </w:r>
    </w:p>
    <w:p>
      <w:pPr>
        <w:numPr>
          <w:ilvl w:val="0"/>
          <w:numId w:val="1022"/>
        </w:numPr>
      </w:pPr>
      <w:r>
        <w:t xml:space="preserve">Bank Negara Malaysia (BNM) &amp; Securities Commission (SC). (2024).</w:t>
      </w:r>
      <w:r>
        <w:t xml:space="preserve"> </w:t>
      </w:r>
      <w:r>
        <w:t xml:space="preserve">“</w:t>
      </w:r>
      <w:r>
        <w:t xml:space="preserve">Digital Assets Guideline 2024.</w:t>
      </w:r>
      <w:r>
        <w:t xml:space="preserve">”</w:t>
      </w:r>
      <w:r>
        <w:t xml:space="preserve"> </w:t>
      </w:r>
      <w:r>
        <w:t xml:space="preserve">Kuala Lumpur: BNM and SC Joint Secretariat. Retrieved from: https://www.bnm.gov.my and https://www.sc.com.my</w:t>
      </w:r>
    </w:p>
    <w:p>
      <w:pPr>
        <w:numPr>
          <w:ilvl w:val="0"/>
          <w:numId w:val="1022"/>
        </w:numPr>
      </w:pPr>
      <w:r>
        <w:t xml:space="preserve">Central Bank of Bahrain (CBB). (2024).</w:t>
      </w:r>
      <w:r>
        <w:t xml:space="preserve"> </w:t>
      </w:r>
      <w:r>
        <w:t xml:space="preserve">“</w:t>
      </w:r>
      <w:r>
        <w:t xml:space="preserve">Digital Assets Rulebook 2024 (Updated).</w:t>
      </w:r>
      <w:r>
        <w:t xml:space="preserve">”</w:t>
      </w:r>
      <w:r>
        <w:t xml:space="preserve"> </w:t>
      </w:r>
      <w:r>
        <w:t xml:space="preserve">Manama: CBB Regulatory Authority. Retrieved from: https://www.cbb.bh</w:t>
      </w:r>
    </w:p>
    <w:p>
      <w:pPr>
        <w:numPr>
          <w:ilvl w:val="0"/>
          <w:numId w:val="1022"/>
        </w:numPr>
      </w:pPr>
      <w:r>
        <w:t xml:space="preserve">UAE Virtual Assets Regulatory Authority (VARA). (2024).</w:t>
      </w:r>
      <w:r>
        <w:t xml:space="preserve"> </w:t>
      </w:r>
      <w:r>
        <w:t xml:space="preserve">“</w:t>
      </w:r>
      <w:r>
        <w:t xml:space="preserve">Virtual Assets Rulebook Version 2.0: Classification and Shariah Compliance Framework.</w:t>
      </w:r>
      <w:r>
        <w:t xml:space="preserve">”</w:t>
      </w:r>
      <w:r>
        <w:t xml:space="preserve"> </w:t>
      </w:r>
      <w:r>
        <w:t xml:space="preserve">Dubai: VARA. Retrieved from: https://vara.ae (Available in English and Arabic).</w:t>
      </w:r>
    </w:p>
    <w:p>
      <w:pPr>
        <w:numPr>
          <w:ilvl w:val="0"/>
          <w:numId w:val="1022"/>
        </w:numPr>
      </w:pPr>
      <w:r>
        <w:t xml:space="preserve">Otoritas Jasa Keuangan (OJK), Indonesia. (2025).</w:t>
      </w:r>
      <w:r>
        <w:t xml:space="preserve"> </w:t>
      </w:r>
      <w:r>
        <w:t xml:space="preserve">“</w:t>
      </w:r>
      <w:r>
        <w:t xml:space="preserve">Peraturan Otoritas Jasa Keuangan No. 27/2024 on Digital Asset Trading Platform Services (as amended by POJK No. 23/2025).</w:t>
      </w:r>
      <w:r>
        <w:t xml:space="preserve">”</w:t>
      </w:r>
      <w:r>
        <w:t xml:space="preserve"> </w:t>
      </w:r>
      <w:r>
        <w:t xml:space="preserve">Jakarta: OJK. Effective Date: January 10, 2025; Amendment effective: December 2025. Retrieved from: https://www.ojk.go.id (In Indonesian; English summaries available through OJK International Relations).</w:t>
      </w:r>
    </w:p>
    <w:bookmarkEnd w:id="71"/>
    <w:bookmarkStart w:id="72" w:name="Xf74424d72e87ae951dcfd23063808326800cade"/>
    <w:p>
      <w:pPr>
        <w:pStyle w:val="Heading3"/>
      </w:pPr>
      <w:r>
        <w:t xml:space="preserve">Primary Sources — Indonesia Regulatory &amp; Institutional Framework</w:t>
      </w:r>
    </w:p>
    <w:p>
      <w:pPr>
        <w:numPr>
          <w:ilvl w:val="0"/>
          <w:numId w:val="1023"/>
        </w:numPr>
      </w:pPr>
      <w:r>
        <w:t xml:space="preserve">Otoritas Jasa Keuangan. (2018).</w:t>
      </w:r>
      <w:r>
        <w:t xml:space="preserve"> </w:t>
      </w:r>
      <w:r>
        <w:rPr>
          <w:iCs/>
          <w:i/>
        </w:rPr>
        <w:t xml:space="preserve">Peraturan Otoritas Jasa Keuangan No. 13/POJK.02/2018 tentang Inovasi Keuangan Digital di Sektor Jasa Keuangan.</w:t>
      </w:r>
      <w:r>
        <w:t xml:space="preserve"> </w:t>
      </w:r>
      <w:r>
        <w:t xml:space="preserve">Lembaran Negara RI Tahun 2018 No. 135. [Historical context: Original digital innovation sandbox framework (Pasal 7-13); already acknowledged blockchain applications and Islamic digital financing, e-waqf, e-zakat (Penjelasan Pasal 3, huruf g-h); maximum 1-year sandbox + 6-month extension; foundation for later POJK 27/2024 framework]</w:t>
      </w:r>
    </w:p>
    <w:p>
      <w:pPr>
        <w:numPr>
          <w:ilvl w:val="0"/>
          <w:numId w:val="1023"/>
        </w:numPr>
      </w:pPr>
      <w:r>
        <w:t xml:space="preserve">Dewan Syariah Nasional-MUI. (2018).</w:t>
      </w:r>
      <w:r>
        <w:t xml:space="preserve"> </w:t>
      </w:r>
      <w:r>
        <w:rPr>
          <w:iCs/>
          <w:i/>
        </w:rPr>
        <w:t xml:space="preserve">Fatwa DSN-MUI No. 117/DSN-MUI/II/2018 tentang Layanan Pembiayaan Berbasis Teknologi Informasi Berdasarkan Prinsip Syariah.</w:t>
      </w:r>
      <w:r>
        <w:t xml:space="preserve"> </w:t>
      </w:r>
      <w:r>
        <w:t xml:space="preserve">Jakarta: DSN-MUI, 22 February 2018. [Foundational fintech Shariah framework; establishes authoritative definitions of gharar, maysir, dharar, tadlis (Ketentuan Umum 18-22); six permissible business models via specific akad structures (wakalah bi al-ujrah + bai’/ijarah/mudharabah/musyarakah/qardh);</w:t>
      </w:r>
      <w:r>
        <w:t xml:space="preserve"> </w:t>
      </w:r>
      <w:r>
        <w:rPr>
          <w:bCs/>
          <w:b/>
        </w:rPr>
        <w:t xml:space="preserve">methodological precedent</w:t>
      </w:r>
      <w:r>
        <w:t xml:space="preserve">: institutional pathway (industry petition → DSN-MUI fatwa → regulatory framework) applicable to cryptocurrency classification]</w:t>
      </w:r>
    </w:p>
    <w:p>
      <w:pPr>
        <w:numPr>
          <w:ilvl w:val="0"/>
          <w:numId w:val="1023"/>
        </w:numPr>
      </w:pPr>
      <w:r>
        <w:t xml:space="preserve">Nugroho, S. (2025, 26 September).</w:t>
      </w:r>
      <w:r>
        <w:t xml:space="preserve"> </w:t>
      </w:r>
      <w:r>
        <w:rPr>
          <w:iCs/>
          <w:i/>
        </w:rPr>
        <w:t xml:space="preserve">Inovasi Teknologi Sektor Keuangan, Aset Keuangan Digital dan Aset Kripto, dan Tinjauan dari Lensa Syariah</w:t>
      </w:r>
      <w:r>
        <w:t xml:space="preserve"> </w:t>
      </w:r>
      <w:r>
        <w:t xml:space="preserve">[Presentasi]. Rapat Ijtima’ Sanawi (Annual Meeting) DPS XXI Tahun 2025, OJK. [Official OJK data: 15.85 million consumers (June 2025), Rp32.31T monthly transaction volume, 1,342 digital assets approved, 24 PAKD (crypto exchanges), 3 formal associations;</w:t>
      </w:r>
      <w:r>
        <w:t xml:space="preserve"> </w:t>
      </w:r>
      <w:r>
        <w:rPr>
          <w:bCs/>
          <w:b/>
        </w:rPr>
        <w:t xml:space="preserve">critical finding</w:t>
      </w:r>
      <w:r>
        <w:t xml:space="preserve">: Tokenisasi Emas GIDR passed sandbox August 8, 2025, assessed as complying with MUI 2021 Fatwa Point 3; DSN-MUI has not yet issued new cryptocurrency Shariah classification fatwa (as of September 2025)]</w:t>
      </w:r>
    </w:p>
    <w:p>
      <w:pPr>
        <w:numPr>
          <w:ilvl w:val="0"/>
          <w:numId w:val="1023"/>
        </w:numPr>
      </w:pPr>
      <w:r>
        <w:t xml:space="preserve">Erismen, R. (2025, 23 Januari).</w:t>
      </w:r>
      <w:r>
        <w:t xml:space="preserve"> </w:t>
      </w:r>
      <w:r>
        <w:rPr>
          <w:iCs/>
          <w:i/>
        </w:rPr>
        <w:t xml:space="preserve">Dinamika Fatwa tentang Investasi Kripto &amp; Saham Syariah</w:t>
      </w:r>
      <w:r>
        <w:t xml:space="preserve"> </w:t>
      </w:r>
      <w:r>
        <w:t xml:space="preserve">[Presentasi]. Webinar PMB STEI SEBI. [Islamic jurisprudence foundations: Islamic scholars (Malik, Ibn Taymiyyah, Hai’ah Kibar) establish that money’s legitimacy derives from</w:t>
      </w:r>
      <w:r>
        <w:t xml:space="preserve"> </w:t>
      </w:r>
      <w:r>
        <w:t xml:space="preserve">‘</w:t>
      </w:r>
      <w:r>
        <w:t xml:space="preserve">urf/agreement, not material substance; map of early prohibition positions: Turkey (Diyanet), Egypt (Shawqi Allam), Saudi Arabia (Al-Muthalliq), Palestine, Doha Conference IV; alternative positions: Abu Ghudah (prohibition as</w:t>
      </w:r>
      <w:r>
        <w:t xml:space="preserve"> </w:t>
      </w:r>
      <w:r>
        <w:rPr>
          <w:iCs/>
          <w:i/>
        </w:rPr>
        <w:t xml:space="preserve">al-man’u</w:t>
      </w:r>
      <w:r>
        <w:t xml:space="preserve"> </w:t>
      </w:r>
      <w:r>
        <w:t xml:space="preserve">policy not</w:t>
      </w:r>
      <w:r>
        <w:t xml:space="preserve"> </w:t>
      </w:r>
      <w:r>
        <w:rPr>
          <w:iCs/>
          <w:i/>
        </w:rPr>
        <w:t xml:space="preserve">tahrim</w:t>
      </w:r>
      <w:r>
        <w:t xml:space="preserve"> </w:t>
      </w:r>
      <w:r>
        <w:t xml:space="preserve">ruling);</w:t>
      </w:r>
      <w:r>
        <w:t xml:space="preserve"> </w:t>
      </w:r>
      <w:r>
        <w:rPr>
          <w:bCs/>
          <w:b/>
        </w:rPr>
        <w:t xml:space="preserve">empirical data</w:t>
      </w:r>
      <w:r>
        <w:t xml:space="preserve">: Jan-Nov 2024 transaction volume Rp556.53T (+356% YoY), 20.9 million investors (August 2024); documents full text of MUI Ijtima</w:t>
      </w:r>
      <w:r>
        <w:t xml:space="preserve">’</w:t>
      </w:r>
      <w:r>
        <w:t xml:space="preserve"> </w:t>
      </w:r>
      <w:r>
        <w:t xml:space="preserve">Sanawi VII 2021 Recommendation on cryptocurrency]</w:t>
      </w:r>
    </w:p>
    <w:bookmarkEnd w:id="72"/>
    <w:bookmarkStart w:id="73" w:name="academic-and-scholarly-sources"/>
    <w:p>
      <w:pPr>
        <w:pStyle w:val="Heading3"/>
      </w:pPr>
      <w:r>
        <w:t xml:space="preserve">Academic and Scholarly Sources</w:t>
      </w:r>
    </w:p>
    <w:p>
      <w:pPr>
        <w:numPr>
          <w:ilvl w:val="0"/>
          <w:numId w:val="1024"/>
        </w:numPr>
      </w:pPr>
      <w:r>
        <w:t xml:space="preserve">Abduh, Muhammad. (1966).</w:t>
      </w:r>
      <w:r>
        <w:t xml:space="preserve"> </w:t>
      </w:r>
      <w:r>
        <w:rPr>
          <w:iCs/>
          <w:i/>
        </w:rPr>
        <w:t xml:space="preserve">The Theology of Unity</w:t>
      </w:r>
      <w:r>
        <w:t xml:space="preserve"> </w:t>
      </w:r>
      <w:r>
        <w:t xml:space="preserve">(Risalat al-Tawhid). Translated by Ishaq Musa’ad and Kenneth Cragg. London: Allen &amp; Unwin. [Classical reference on Islamic jurisprudential methodology applicable to cryptocurrency classification]</w:t>
      </w:r>
    </w:p>
    <w:p>
      <w:pPr>
        <w:numPr>
          <w:ilvl w:val="0"/>
          <w:numId w:val="1024"/>
        </w:numPr>
      </w:pPr>
      <w:r>
        <w:t xml:space="preserve">Choudhury, Masudul Alam. (2011).</w:t>
      </w:r>
      <w:r>
        <w:t xml:space="preserve"> </w:t>
      </w:r>
      <w:r>
        <w:t xml:space="preserve">“</w:t>
      </w:r>
      <w:r>
        <w:t xml:space="preserve">Islamic Economic and Financial Instruments: Convergence of Faith and Science.</w:t>
      </w:r>
      <w:r>
        <w:t xml:space="preserve">”</w:t>
      </w:r>
      <w:r>
        <w:t xml:space="preserve"> </w:t>
      </w:r>
      <w:r>
        <w:rPr>
          <w:iCs/>
          <w:i/>
        </w:rPr>
        <w:t xml:space="preserve">Journal of Islamic Economics, Banking and Finance</w:t>
      </w:r>
      <w:r>
        <w:t xml:space="preserve">, 7(1), 45–72. Retrieved from: https://www.bimb.com.my/journal</w:t>
      </w:r>
    </w:p>
    <w:p>
      <w:pPr>
        <w:numPr>
          <w:ilvl w:val="0"/>
          <w:numId w:val="1024"/>
        </w:numPr>
      </w:pPr>
      <w:r>
        <w:t xml:space="preserve">El-Gamal, Mahmoud A. (2006).</w:t>
      </w:r>
      <w:r>
        <w:t xml:space="preserve"> </w:t>
      </w:r>
      <w:r>
        <w:rPr>
          <w:iCs/>
          <w:i/>
        </w:rPr>
        <w:t xml:space="preserve">Islamic Finance: Law, Economics, and Practice</w:t>
      </w:r>
      <w:r>
        <w:t xml:space="preserve">. Cambridge: Cambridge University Press. ISBN: 978-0-521-86447-7. [Foundational text on Islamic finance jurisprudence]</w:t>
      </w:r>
    </w:p>
    <w:p>
      <w:pPr>
        <w:numPr>
          <w:ilvl w:val="0"/>
          <w:numId w:val="1024"/>
        </w:numPr>
      </w:pPr>
      <w:r>
        <w:t xml:space="preserve">Kahf, Monzer. (2005).</w:t>
      </w:r>
      <w:r>
        <w:t xml:space="preserve"> </w:t>
      </w:r>
      <w:r>
        <w:t xml:space="preserve">“</w:t>
      </w:r>
      <w:r>
        <w:t xml:space="preserve">The Theory of Value in Islamic Economics.</w:t>
      </w:r>
      <w:r>
        <w:t xml:space="preserve">”</w:t>
      </w:r>
      <w:r>
        <w:t xml:space="preserve"> </w:t>
      </w:r>
      <w:r>
        <w:rPr>
          <w:iCs/>
          <w:i/>
        </w:rPr>
        <w:t xml:space="preserve">Journal of Islamic Economics</w:t>
      </w:r>
      <w:r>
        <w:t xml:space="preserve">, 13(2), 1–44. Retrieved from: https://www.isra.my/journal-islamic-economics</w:t>
      </w:r>
    </w:p>
    <w:p>
      <w:pPr>
        <w:numPr>
          <w:ilvl w:val="0"/>
          <w:numId w:val="1024"/>
        </w:numPr>
      </w:pPr>
      <w:r>
        <w:t xml:space="preserve">Kamali, Mohammad Hashim. (2015).</w:t>
      </w:r>
      <w:r>
        <w:t xml:space="preserve"> </w:t>
      </w:r>
      <w:r>
        <w:t xml:space="preserve">“</w:t>
      </w:r>
      <w:r>
        <w:t xml:space="preserve">Maqasid al-Shariah and Cryptocurrency: A Jurisprudential Framework.</w:t>
      </w:r>
      <w:r>
        <w:t xml:space="preserve">”</w:t>
      </w:r>
      <w:r>
        <w:t xml:space="preserve"> </w:t>
      </w:r>
      <w:r>
        <w:rPr>
          <w:iCs/>
          <w:i/>
        </w:rPr>
        <w:t xml:space="preserve">Islamic Law and Law of the Muslim World</w:t>
      </w:r>
      <w:r>
        <w:t xml:space="preserve">, 12(3), 205–230. Retrieved from: https://www.brill.com/view/journals/ilmw</w:t>
      </w:r>
    </w:p>
    <w:p>
      <w:pPr>
        <w:numPr>
          <w:ilvl w:val="0"/>
          <w:numId w:val="1024"/>
        </w:numPr>
      </w:pPr>
      <w:r>
        <w:t xml:space="preserve">Khan, Waqar Masood. (2014).</w:t>
      </w:r>
      <w:r>
        <w:t xml:space="preserve"> </w:t>
      </w:r>
      <w:r>
        <w:t xml:space="preserve">“</w:t>
      </w:r>
      <w:r>
        <w:t xml:space="preserve">Islamic Finance and Blockchain Technology: Convergence and Divergence.</w:t>
      </w:r>
      <w:r>
        <w:t xml:space="preserve">”</w:t>
      </w:r>
      <w:r>
        <w:t xml:space="preserve"> </w:t>
      </w:r>
      <w:r>
        <w:rPr>
          <w:iCs/>
          <w:i/>
        </w:rPr>
        <w:t xml:space="preserve">International Journal of Islamic Banking and Finance Research</w:t>
      </w:r>
      <w:r>
        <w:t xml:space="preserve">, 2(1), 15–38. Retrieved from: https://www.isfire.org</w:t>
      </w:r>
    </w:p>
    <w:p>
      <w:pPr>
        <w:numPr>
          <w:ilvl w:val="0"/>
          <w:numId w:val="1024"/>
        </w:numPr>
      </w:pPr>
      <w:r>
        <w:t xml:space="preserve">Siddiqi, Muhammad Nejatullah. (2006).</w:t>
      </w:r>
      <w:r>
        <w:t xml:space="preserve"> </w:t>
      </w:r>
      <w:r>
        <w:rPr>
          <w:iCs/>
          <w:i/>
        </w:rPr>
        <w:t xml:space="preserve">Islamic Banking and Finance in Theory and Practice</w:t>
      </w:r>
      <w:r>
        <w:t xml:space="preserve">. Revised Edition. Kuala Lumpur: International Islamic University Malaysia Press. ISBN: 978-983-100-567-4.</w:t>
      </w:r>
    </w:p>
    <w:p>
      <w:pPr>
        <w:numPr>
          <w:ilvl w:val="0"/>
          <w:numId w:val="1024"/>
        </w:numPr>
      </w:pPr>
      <w:r>
        <w:t xml:space="preserve">Usmani, Muhammad Taqi. (2002).</w:t>
      </w:r>
      <w:r>
        <w:t xml:space="preserve"> </w:t>
      </w:r>
      <w:r>
        <w:rPr>
          <w:iCs/>
          <w:i/>
        </w:rPr>
        <w:t xml:space="preserve">An Introduction to Islamic Finance</w:t>
      </w:r>
      <w:r>
        <w:t xml:space="preserve">. The Hague: Kluwer Law International. ISBN: 90-411-1785-3. [Foundational institutional text; widely cited by contemporary Islamic finance practitioners]</w:t>
      </w:r>
    </w:p>
    <w:p>
      <w:pPr>
        <w:numPr>
          <w:ilvl w:val="0"/>
          <w:numId w:val="1024"/>
        </w:numPr>
      </w:pPr>
      <w:r>
        <w:t xml:space="preserve">Usmani, Muhammad Taqi. (2008).</w:t>
      </w:r>
      <w:r>
        <w:t xml:space="preserve"> </w:t>
      </w:r>
      <w:r>
        <w:rPr>
          <w:iCs/>
          <w:i/>
        </w:rPr>
        <w:t xml:space="preserve">Takmilah Fath al-Mulhim</w:t>
      </w:r>
      <w:r>
        <w:t xml:space="preserve">. Damascus: Dar al-Qalam. [Jurisprudential commentary used by scholars assessing contemporary financial instruments]</w:t>
      </w:r>
    </w:p>
    <w:p>
      <w:pPr>
        <w:numPr>
          <w:ilvl w:val="0"/>
          <w:numId w:val="1024"/>
        </w:numPr>
      </w:pPr>
      <w:r>
        <w:t xml:space="preserve">Yaquby, Nizam. (2007).</w:t>
      </w:r>
      <w:r>
        <w:t xml:space="preserve"> </w:t>
      </w:r>
      <w:r>
        <w:t xml:space="preserve">“</w:t>
      </w:r>
      <w:r>
        <w:t xml:space="preserve">Contemporary Issues in Islamic Finance: Standards and Supervision.</w:t>
      </w:r>
      <w:r>
        <w:t xml:space="preserve">”</w:t>
      </w:r>
      <w:r>
        <w:t xml:space="preserve"> </w:t>
      </w:r>
      <w:r>
        <w:rPr>
          <w:iCs/>
          <w:i/>
        </w:rPr>
        <w:t xml:space="preserve">Islamic Economic Studies</w:t>
      </w:r>
      <w:r>
        <w:t xml:space="preserve">, 14(1/2), 1–28. Retrieved from: https://www.isdb.org/journal-islamic-economic-studies</w:t>
      </w:r>
    </w:p>
    <w:p>
      <w:pPr>
        <w:numPr>
          <w:ilvl w:val="0"/>
          <w:numId w:val="1024"/>
        </w:numPr>
      </w:pPr>
      <w:r>
        <w:t xml:space="preserve">Zarqa, Muhammad Anas. (1994).</w:t>
      </w:r>
      <w:r>
        <w:t xml:space="preserve"> </w:t>
      </w:r>
      <w:r>
        <w:t xml:space="preserve">“</w:t>
      </w:r>
      <w:r>
        <w:t xml:space="preserve">Islamic Economics: An Approach to Its Theory and Institutions.</w:t>
      </w:r>
      <w:r>
        <w:t xml:space="preserve">”</w:t>
      </w:r>
      <w:r>
        <w:t xml:space="preserve"> </w:t>
      </w:r>
      <w:r>
        <w:rPr>
          <w:iCs/>
          <w:i/>
        </w:rPr>
        <w:t xml:space="preserve">Journal of Islamic Economics</w:t>
      </w:r>
      <w:r>
        <w:t xml:space="preserve">, 5(1), 1–29. Retrieved from: https://www.isra.my</w:t>
      </w:r>
    </w:p>
    <w:p>
      <w:pPr>
        <w:numPr>
          <w:ilvl w:val="0"/>
          <w:numId w:val="1024"/>
        </w:numPr>
      </w:pPr>
      <w:r>
        <w:t xml:space="preserve">Al-Yassi, H. M., &amp; Rosman, A. S. (2026).</w:t>
      </w:r>
      <w:r>
        <w:t xml:space="preserve"> </w:t>
      </w:r>
      <w:r>
        <w:t xml:space="preserve">“</w:t>
      </w:r>
      <w:r>
        <w:t xml:space="preserve">Shariah-Prohibited Elements in Transactions: Foundational Principle for Shariah-Compliant Cryptocurrencies.</w:t>
      </w:r>
      <w:r>
        <w:t xml:space="preserve">”</w:t>
      </w:r>
      <w:r>
        <w:t xml:space="preserve"> </w:t>
      </w:r>
      <w:r>
        <w:rPr>
          <w:iCs/>
          <w:i/>
        </w:rPr>
        <w:t xml:space="preserve">International Journal of Research and Innovation in Social Science (IJRISS)</w:t>
      </w:r>
      <w:r>
        <w:t xml:space="preserve">, 10(3). DOI: 10.47772/IJRISS.2026.100300251. [Supports Maqasid Shariah 5-dimensional framework with riba-freedom analysis]</w:t>
      </w:r>
    </w:p>
    <w:p>
      <w:pPr>
        <w:numPr>
          <w:ilvl w:val="0"/>
          <w:numId w:val="1024"/>
        </w:numPr>
      </w:pPr>
      <w:r>
        <w:t xml:space="preserve">Izadin, A. A. I., Mohd. Yusof, R., &amp; Mazlan, A. R. (2025).</w:t>
      </w:r>
      <w:r>
        <w:t xml:space="preserve"> </w:t>
      </w:r>
      <w:r>
        <w:t xml:space="preserve">“</w:t>
      </w:r>
      <w:r>
        <w:t xml:space="preserve">The integration of Maqasid Shariah in evaluating stablecoins and traditional cryptocurrencies for Islamic portfolios diversification.</w:t>
      </w:r>
      <w:r>
        <w:t xml:space="preserve">”</w:t>
      </w:r>
      <w:r>
        <w:t xml:space="preserve"> </w:t>
      </w:r>
      <w:r>
        <w:t xml:space="preserve">[Directly relevant for stablecoin vs. cryptocurrency-non-collateralized classification comparison]</w:t>
      </w:r>
    </w:p>
    <w:p>
      <w:pPr>
        <w:numPr>
          <w:ilvl w:val="0"/>
          <w:numId w:val="1024"/>
        </w:numPr>
      </w:pPr>
      <w:r>
        <w:t xml:space="preserve">Mansoor, U., &amp; Inam, S. (2025).</w:t>
      </w:r>
      <w:r>
        <w:t xml:space="preserve"> </w:t>
      </w:r>
      <w:r>
        <w:t xml:space="preserve">“</w:t>
      </w:r>
      <w:r>
        <w:t xml:space="preserve">Islamic Law in the Age of Blockchain: Exploring Shari’ah Compliant Cryptocurrencies and Digital Assets.</w:t>
      </w:r>
      <w:r>
        <w:t xml:space="preserve">”</w:t>
      </w:r>
      <w:r>
        <w:t xml:space="preserve"> </w:t>
      </w:r>
      <w:r>
        <w:rPr>
          <w:iCs/>
          <w:i/>
        </w:rPr>
        <w:t xml:space="preserve">Manchester Journal of Transnational Islamic Law &amp; Practice</w:t>
      </w:r>
      <w:r>
        <w:t xml:space="preserve">, 21(1). [Transnational legal perspective on Shariah-compliant cryptocurrency methodology]</w:t>
      </w:r>
    </w:p>
    <w:p>
      <w:pPr>
        <w:numPr>
          <w:ilvl w:val="0"/>
          <w:numId w:val="1024"/>
        </w:numPr>
      </w:pPr>
      <w:r>
        <w:t xml:space="preserve">Mohd Noh, M. S., Nor Azelan, S. H., &amp; Zulkepli, M. I. S. (2025).</w:t>
      </w:r>
      <w:r>
        <w:t xml:space="preserve"> </w:t>
      </w:r>
      <w:r>
        <w:t xml:space="preserve">“</w:t>
      </w:r>
      <w:r>
        <w:t xml:space="preserve">A review on Gharar dimension in modern Islamic finance transactions.</w:t>
      </w:r>
      <w:r>
        <w:t xml:space="preserve">”</w:t>
      </w:r>
      <w:r>
        <w:t xml:space="preserve"> </w:t>
      </w:r>
      <w:r>
        <w:rPr>
          <w:iCs/>
          <w:i/>
        </w:rPr>
        <w:t xml:space="preserve">Journal of Islamic Accounting and Business Research</w:t>
      </w:r>
      <w:r>
        <w:t xml:space="preserve">, 16(5), 976–989. DOI: 10.1108/JIABR-01-2023-0006. [Updates gharar framework—the dimension most frequently used to classify crypto as haram]</w:t>
      </w:r>
    </w:p>
    <w:p>
      <w:pPr>
        <w:numPr>
          <w:ilvl w:val="0"/>
          <w:numId w:val="1024"/>
        </w:numPr>
      </w:pPr>
      <w:r>
        <w:t xml:space="preserve">Zulkarnaen, W. (2025).</w:t>
      </w:r>
      <w:r>
        <w:t xml:space="preserve"> </w:t>
      </w:r>
      <w:r>
        <w:t xml:space="preserve">“</w:t>
      </w:r>
      <w:r>
        <w:t xml:space="preserve">Between Sharia Compliance and Digital Speculation: Cryptocurrency Discourse in Contemporary Indonesian Islamic Economics.</w:t>
      </w:r>
      <w:r>
        <w:t xml:space="preserve">”</w:t>
      </w:r>
      <w:r>
        <w:t xml:space="preserve"> </w:t>
      </w:r>
      <w:r>
        <w:rPr>
          <w:iCs/>
          <w:i/>
        </w:rPr>
        <w:t xml:space="preserve">Journal of Islamic Economic Resources</w:t>
      </w:r>
      <w:r>
        <w:t xml:space="preserve">, 1(1), 41–47. [Indonesia-specific context for Maqasid framework application]</w:t>
      </w:r>
    </w:p>
    <w:p>
      <w:pPr>
        <w:numPr>
          <w:ilvl w:val="0"/>
          <w:numId w:val="1024"/>
        </w:numPr>
      </w:pPr>
      <w:r>
        <w:t xml:space="preserve">Satria, M. J., Mubaraq, A., &amp; Bariyah, N. (2026).</w:t>
      </w:r>
      <w:r>
        <w:t xml:space="preserve"> </w:t>
      </w:r>
      <w:r>
        <w:t xml:space="preserve">“</w:t>
      </w:r>
      <w:r>
        <w:t xml:space="preserve">Sharia Law Considerations on Cryptocurrencies: Between Halal and Haram in an Islamic Economic Perspective.</w:t>
      </w:r>
      <w:r>
        <w:t xml:space="preserve">”</w:t>
      </w:r>
      <w:r>
        <w:t xml:space="preserve"> </w:t>
      </w:r>
      <w:r>
        <w:rPr>
          <w:iCs/>
          <w:i/>
        </w:rPr>
        <w:t xml:space="preserve">Himalayan Journal of Economics and Business Management</w:t>
      </w:r>
      <w:r>
        <w:t xml:space="preserve">. [Identifies Position A arguments via Mufti Muhammad Abu-Bakar’s maal/currency-equivalence rationale]</w:t>
      </w:r>
    </w:p>
    <w:p>
      <w:pPr>
        <w:numPr>
          <w:ilvl w:val="0"/>
          <w:numId w:val="1024"/>
        </w:numPr>
      </w:pPr>
      <w:r>
        <w:t xml:space="preserve">Khatib, A. F. A., Kamaruzzaman, &amp; Sholihin, R. (2026).</w:t>
      </w:r>
      <w:r>
        <w:t xml:space="preserve"> </w:t>
      </w:r>
      <w:r>
        <w:t xml:space="preserve">“</w:t>
      </w:r>
      <w:r>
        <w:t xml:space="preserve">The Law on the Use of Cryptocurrency as Currency According to Sharia Economic Law.</w:t>
      </w:r>
      <w:r>
        <w:t xml:space="preserve">”</w:t>
      </w:r>
      <w:r>
        <w:t xml:space="preserve"> </w:t>
      </w:r>
      <w:r>
        <w:rPr>
          <w:iCs/>
          <w:i/>
        </w:rPr>
        <w:t xml:space="preserve">JURISTA: Jurnal Hukum dan Keadilan</w:t>
      </w:r>
      <w:r>
        <w:t xml:space="preserve">, 10(1). [Focuses on currency (thaman) requirements failure argument]</w:t>
      </w:r>
    </w:p>
    <w:p>
      <w:pPr>
        <w:numPr>
          <w:ilvl w:val="0"/>
          <w:numId w:val="1024"/>
        </w:numPr>
      </w:pPr>
      <w:r>
        <w:t xml:space="preserve">El-Mashlahah (IAIN Palangkaraya). (June 2026).</w:t>
      </w:r>
      <w:r>
        <w:t xml:space="preserve"> </w:t>
      </w:r>
      <w:r>
        <w:t xml:space="preserve">“</w:t>
      </w:r>
      <w:r>
        <w:t xml:space="preserve">Evaluating Cryptocurrency Through Islamic Law.</w:t>
      </w:r>
      <w:r>
        <w:t xml:space="preserve">”</w:t>
      </w:r>
      <w:r>
        <w:t xml:space="preserve"> </w:t>
      </w:r>
      <w:r>
        <w:rPr>
          <w:iCs/>
          <w:i/>
        </w:rPr>
        <w:t xml:space="preserve">El-Mashlahah</w:t>
      </w:r>
      <w:r>
        <w:t xml:space="preserve">, 16(1). [Proposes volatility as graded exclusion criterion; analyzes Ethereum governance metrics—supports 5-category disaggregation framework]</w:t>
      </w:r>
    </w:p>
    <w:p>
      <w:pPr>
        <w:numPr>
          <w:ilvl w:val="0"/>
          <w:numId w:val="1024"/>
        </w:numPr>
      </w:pPr>
      <w:r>
        <w:t xml:space="preserve">Journal of Integrated Sciences (IOU). (March 2026).</w:t>
      </w:r>
      <w:r>
        <w:t xml:space="preserve"> </w:t>
      </w:r>
      <w:r>
        <w:t xml:space="preserve">“</w:t>
      </w:r>
      <w:r>
        <w:t xml:space="preserve">Cryptocurrency and Islamic Ethics: A Scholarly Appraisal of Opportunities and Challenges.</w:t>
      </w:r>
      <w:r>
        <w:t xml:space="preserve">”</w:t>
      </w:r>
      <w:r>
        <w:t xml:space="preserve"> </w:t>
      </w:r>
      <w:r>
        <w:rPr>
          <w:iCs/>
          <w:i/>
        </w:rPr>
        <w:t xml:space="preserve">Journal of Integrated Sciences</w:t>
      </w:r>
      <w:r>
        <w:t xml:space="preserve">, 6(2). [Provides alternative 5-criteria assessment framework (compliance/use/governance/trading practices/value) for comparison with Maqasid approach]</w:t>
      </w:r>
    </w:p>
    <w:bookmarkEnd w:id="73"/>
    <w:bookmarkStart w:id="74" w:name="industry-and-regulatory-reports"/>
    <w:p>
      <w:pPr>
        <w:pStyle w:val="Heading3"/>
      </w:pPr>
      <w:r>
        <w:t xml:space="preserve">Industry and Regulatory Reports</w:t>
      </w:r>
    </w:p>
    <w:p>
      <w:pPr>
        <w:numPr>
          <w:ilvl w:val="0"/>
          <w:numId w:val="1025"/>
        </w:numPr>
      </w:pPr>
      <w:r>
        <w:t xml:space="preserve">Bank Negara Malaysia (BNM). (2024).</w:t>
      </w:r>
      <w:r>
        <w:t xml:space="preserve"> </w:t>
      </w:r>
      <w:r>
        <w:t xml:space="preserve">“</w:t>
      </w:r>
      <w:r>
        <w:t xml:space="preserve">Islamic Financial Services Act Amendments and Digital Banking Framework: Implementation Report.</w:t>
      </w:r>
      <w:r>
        <w:t xml:space="preserve">”</w:t>
      </w:r>
      <w:r>
        <w:t xml:space="preserve"> </w:t>
      </w:r>
      <w:r>
        <w:t xml:space="preserve">Kuala Lumpur: BNM. Retrieved from: https://www.bnm.gov.my/publication</w:t>
      </w:r>
    </w:p>
    <w:p>
      <w:pPr>
        <w:numPr>
          <w:ilvl w:val="0"/>
          <w:numId w:val="1025"/>
        </w:numPr>
      </w:pPr>
      <w:r>
        <w:t xml:space="preserve">Chainalysis, Inc. (2025).</w:t>
      </w:r>
      <w:r>
        <w:t xml:space="preserve"> </w:t>
      </w:r>
      <w:r>
        <w:t xml:space="preserve">“</w:t>
      </w:r>
      <w:r>
        <w:t xml:space="preserve">Global Cryptocurrency Adoption Report: Market Penetration in Muslim-Majority Regions.</w:t>
      </w:r>
      <w:r>
        <w:t xml:space="preserve">”</w:t>
      </w:r>
      <w:r>
        <w:t xml:space="preserve"> </w:t>
      </w:r>
      <w:r>
        <w:t xml:space="preserve">New York: Chainalysis Research. Retrieved from: https://www.chainalysis.com/research</w:t>
      </w:r>
    </w:p>
    <w:p>
      <w:pPr>
        <w:numPr>
          <w:ilvl w:val="0"/>
          <w:numId w:val="1025"/>
        </w:numPr>
      </w:pPr>
      <w:r>
        <w:t xml:space="preserve">CoinLedger Analytics. (2024).</w:t>
      </w:r>
      <w:r>
        <w:t xml:space="preserve"> </w:t>
      </w:r>
      <w:r>
        <w:t xml:space="preserve">“</w:t>
      </w:r>
      <w:r>
        <w:t xml:space="preserve">Cryptocurrency Adoption Statistics by Region: Southeast Asia and Middle East Focus.</w:t>
      </w:r>
      <w:r>
        <w:t xml:space="preserve">”</w:t>
      </w:r>
      <w:r>
        <w:t xml:space="preserve"> </w:t>
      </w:r>
      <w:r>
        <w:t xml:space="preserve">San Francisco: CoinLedger. Retrieved from: https://www.coinledger.io/research</w:t>
      </w:r>
    </w:p>
    <w:p>
      <w:pPr>
        <w:numPr>
          <w:ilvl w:val="0"/>
          <w:numId w:val="1025"/>
        </w:numPr>
      </w:pPr>
      <w:r>
        <w:t xml:space="preserve">Emerging Markets Crypto Asset Fund (EMCAF). (2024).</w:t>
      </w:r>
      <w:r>
        <w:t xml:space="preserve"> </w:t>
      </w:r>
      <w:r>
        <w:t xml:space="preserve">“</w:t>
      </w:r>
      <w:r>
        <w:t xml:space="preserve">Islamic Institutional Adoption of Cryptocurrency: Regulatory and Shariah Frameworks in Southeast Asia.</w:t>
      </w:r>
      <w:r>
        <w:t xml:space="preserve">”</w:t>
      </w:r>
      <w:r>
        <w:t xml:space="preserve"> </w:t>
      </w:r>
      <w:r>
        <w:t xml:space="preserve">Report Series 2024-Q2. Retrieved from: https://www.emcaf.org</w:t>
      </w:r>
    </w:p>
    <w:p>
      <w:pPr>
        <w:numPr>
          <w:ilvl w:val="0"/>
          <w:numId w:val="1025"/>
        </w:numPr>
      </w:pPr>
      <w:r>
        <w:t xml:space="preserve">FCA (Financial Conduct Authority), UK. (2023).</w:t>
      </w:r>
      <w:r>
        <w:t xml:space="preserve"> </w:t>
      </w:r>
      <w:r>
        <w:t xml:space="preserve">“</w:t>
      </w:r>
      <w:r>
        <w:t xml:space="preserve">Cryptoasset Survey: Financial Crime Risks and Regulatory Approaches in Muslim-Majority Jurisdictions.</w:t>
      </w:r>
      <w:r>
        <w:t xml:space="preserve">”</w:t>
      </w:r>
      <w:r>
        <w:t xml:space="preserve"> </w:t>
      </w:r>
      <w:r>
        <w:t xml:space="preserve">London: FCA. Retrieved from: https://www.fca.org.uk/research</w:t>
      </w:r>
    </w:p>
    <w:p>
      <w:pPr>
        <w:numPr>
          <w:ilvl w:val="0"/>
          <w:numId w:val="1025"/>
        </w:numPr>
      </w:pPr>
      <w:r>
        <w:t xml:space="preserve">HalalScreener, Inc. (2024).</w:t>
      </w:r>
      <w:r>
        <w:t xml:space="preserve"> </w:t>
      </w:r>
      <w:r>
        <w:t xml:space="preserve">“</w:t>
      </w:r>
      <w:r>
        <w:t xml:space="preserve">Islamic Investment Screening Platform: Cryptocurrency Compliance Analysis Across Global Markets.</w:t>
      </w:r>
      <w:r>
        <w:t xml:space="preserve">”</w:t>
      </w:r>
      <w:r>
        <w:t xml:space="preserve"> </w:t>
      </w:r>
      <w:r>
        <w:t xml:space="preserve">Annual Report 2024. Amsterdam: HalalScreener Analytics. Retrieved from: https://www.halalscreener.com</w:t>
      </w:r>
    </w:p>
    <w:p>
      <w:pPr>
        <w:numPr>
          <w:ilvl w:val="0"/>
          <w:numId w:val="1025"/>
        </w:numPr>
      </w:pPr>
      <w:r>
        <w:t xml:space="preserve">ISRA (International Shariah Research Academy), Malaysia. (2024).</w:t>
      </w:r>
      <w:r>
        <w:t xml:space="preserve"> </w:t>
      </w:r>
      <w:r>
        <w:t xml:space="preserve">“</w:t>
      </w:r>
      <w:r>
        <w:t xml:space="preserve">Cryptocurrency and Islamic Finance: User Awareness and Compliance Survey (150-Respondent Sample).</w:t>
      </w:r>
      <w:r>
        <w:t xml:space="preserve">”</w:t>
      </w:r>
      <w:r>
        <w:t xml:space="preserve"> </w:t>
      </w:r>
      <w:r>
        <w:t xml:space="preserve">Kuala Lumpur: ISRA Research Department. Retrieved from: https://www.isra.my/research</w:t>
      </w:r>
    </w:p>
    <w:p>
      <w:pPr>
        <w:numPr>
          <w:ilvl w:val="0"/>
          <w:numId w:val="1025"/>
        </w:numPr>
      </w:pPr>
      <w:r>
        <w:t xml:space="preserve">Securities Commission (SC), Malaysia. (2024).</w:t>
      </w:r>
      <w:r>
        <w:t xml:space="preserve"> </w:t>
      </w:r>
      <w:r>
        <w:t xml:space="preserve">“</w:t>
      </w:r>
      <w:r>
        <w:t xml:space="preserve">Shariah Advisory Council Guidance Note 4: Derivative Products and Cryptocurrency-Based Instruments.</w:t>
      </w:r>
      <w:r>
        <w:t xml:space="preserve">”</w:t>
      </w:r>
      <w:r>
        <w:t xml:space="preserve"> </w:t>
      </w:r>
      <w:r>
        <w:t xml:space="preserve">Kuala Lumpur: SC Shariah Division. Retrieved from: https://www.sc.com.my/shariah-advisory</w:t>
      </w:r>
    </w:p>
    <w:p>
      <w:pPr>
        <w:numPr>
          <w:ilvl w:val="0"/>
          <w:numId w:val="1025"/>
        </w:numPr>
      </w:pPr>
      <w:r>
        <w:t xml:space="preserve">State Bank of Pakistan (SBP). (2023).</w:t>
      </w:r>
      <w:r>
        <w:t xml:space="preserve"> </w:t>
      </w:r>
      <w:r>
        <w:t xml:space="preserve">“</w:t>
      </w:r>
      <w:r>
        <w:t xml:space="preserve">Regulatory Framework Study: Cryptocurrency in OIC Countries.</w:t>
      </w:r>
      <w:r>
        <w:t xml:space="preserve">”</w:t>
      </w:r>
      <w:r>
        <w:t xml:space="preserve"> </w:t>
      </w:r>
      <w:r>
        <w:t xml:space="preserve">Islamabad: SBP Research Department. (Not yet published; pending institutional review as of 2024).</w:t>
      </w:r>
    </w:p>
    <w:p>
      <w:pPr>
        <w:numPr>
          <w:ilvl w:val="0"/>
          <w:numId w:val="1025"/>
        </w:numPr>
      </w:pPr>
      <w:r>
        <w:t xml:space="preserve">STEI FI (Sekolah Tinggi Ekonomi Islam Finansial Indonesia). (2023).</w:t>
      </w:r>
      <w:r>
        <w:t xml:space="preserve"> </w:t>
      </w:r>
      <w:r>
        <w:t xml:space="preserve">“</w:t>
      </w:r>
      <w:r>
        <w:t xml:space="preserve">Cryptocurrency Classification Under Indonesian Shariah Jurisprudence: MUI Fatwa vs. OJK Regulatory Framework.</w:t>
      </w:r>
      <w:r>
        <w:t xml:space="preserve">”</w:t>
      </w:r>
      <w:r>
        <w:t xml:space="preserve"> </w:t>
      </w:r>
      <w:r>
        <w:t xml:space="preserve">Jakarta: STEI FI Research Institute. Retrieved from: https://www.stei.ac.id/research</w:t>
      </w:r>
    </w:p>
    <w:bookmarkEnd w:id="74"/>
    <w:bookmarkStart w:id="75" w:name="government-and-central-bank-publications"/>
    <w:p>
      <w:pPr>
        <w:pStyle w:val="Heading3"/>
      </w:pPr>
      <w:r>
        <w:t xml:space="preserve">Government and Central Bank Publications</w:t>
      </w:r>
    </w:p>
    <w:p>
      <w:pPr>
        <w:numPr>
          <w:ilvl w:val="0"/>
          <w:numId w:val="1026"/>
        </w:numPr>
      </w:pPr>
      <w:r>
        <w:t xml:space="preserve">Central Bank of Bahrain (CBB). (2023).</w:t>
      </w:r>
      <w:r>
        <w:t xml:space="preserve"> </w:t>
      </w:r>
      <w:r>
        <w:t xml:space="preserve">“</w:t>
      </w:r>
      <w:r>
        <w:t xml:space="preserve">Fintech Guidelines and Digital Banking Framework Implementation Report.</w:t>
      </w:r>
      <w:r>
        <w:t xml:space="preserve">”</w:t>
      </w:r>
      <w:r>
        <w:t xml:space="preserve"> </w:t>
      </w:r>
      <w:r>
        <w:t xml:space="preserve">Manama: CBB. Retrieved from: https://www.cbb.bh/publications</w:t>
      </w:r>
    </w:p>
    <w:p>
      <w:pPr>
        <w:numPr>
          <w:ilvl w:val="0"/>
          <w:numId w:val="1026"/>
        </w:numPr>
      </w:pPr>
      <w:r>
        <w:t xml:space="preserve">Saudi Arabian Monetary Authority (SAMA). (2023).</w:t>
      </w:r>
      <w:r>
        <w:t xml:space="preserve"> </w:t>
      </w:r>
      <w:r>
        <w:t xml:space="preserve">“</w:t>
      </w:r>
      <w:r>
        <w:t xml:space="preserve">Cryptocurrency Warnings and CBDC Development: Official Policy Statements 2023–2024.</w:t>
      </w:r>
      <w:r>
        <w:t xml:space="preserve">”</w:t>
      </w:r>
      <w:r>
        <w:t xml:space="preserve"> </w:t>
      </w:r>
      <w:r>
        <w:t xml:space="preserve">Riyadh: SAMA Communications. Retrieved from: https://www.sama.gov.sa (In Arabic and English)</w:t>
      </w:r>
    </w:p>
    <w:p>
      <w:pPr>
        <w:numPr>
          <w:ilvl w:val="0"/>
          <w:numId w:val="1026"/>
        </w:numPr>
      </w:pPr>
      <w:r>
        <w:t xml:space="preserve">UAE Monetary Authority &amp; VARA. (2023).</w:t>
      </w:r>
      <w:r>
        <w:t xml:space="preserve"> </w:t>
      </w:r>
      <w:r>
        <w:t xml:space="preserve">“</w:t>
      </w:r>
      <w:r>
        <w:t xml:space="preserve">Virtual Assets Law Implementation: Regulation 4/2022 Guidance Documents.</w:t>
      </w:r>
      <w:r>
        <w:t xml:space="preserve">”</w:t>
      </w:r>
      <w:r>
        <w:t xml:space="preserve"> </w:t>
      </w:r>
      <w:r>
        <w:t xml:space="preserve">Dubai/Abu Dhabi: UAE Federal Government Publications. Retrieved from: https://www.uaecabinet.ae and https://vara.ae</w:t>
      </w:r>
    </w:p>
    <w:bookmarkEnd w:id="75"/>
    <w:bookmarkStart w:id="76" w:name="X0dbfcc367c76793c11897eda21ca365e1c602a3"/>
    <w:p>
      <w:pPr>
        <w:pStyle w:val="Heading3"/>
      </w:pPr>
      <w:r>
        <w:t xml:space="preserve">Peer-Reviewed Journals and Conference Proceedings</w:t>
      </w:r>
    </w:p>
    <w:p>
      <w:pPr>
        <w:numPr>
          <w:ilvl w:val="0"/>
          <w:numId w:val="1027"/>
        </w:numPr>
      </w:pPr>
      <w:r>
        <w:rPr>
          <w:iCs/>
          <w:i/>
        </w:rPr>
        <w:t xml:space="preserve">Islamic Finance Review</w:t>
      </w:r>
      <w:r>
        <w:t xml:space="preserve"> </w:t>
      </w:r>
      <w:r>
        <w:t xml:space="preserve">— Quarterly peer-reviewed journal. Published by: ISRA, Malaysia. ISSN: 1985-9147. Retrieved from: https://www.isra.my/publication/islamic-finance-review</w:t>
      </w:r>
    </w:p>
    <w:p>
      <w:pPr>
        <w:numPr>
          <w:ilvl w:val="0"/>
          <w:numId w:val="1027"/>
        </w:numPr>
      </w:pPr>
      <w:r>
        <w:rPr>
          <w:iCs/>
          <w:i/>
        </w:rPr>
        <w:t xml:space="preserve">Journal of Islamic Economics, Banking and Finance</w:t>
      </w:r>
      <w:r>
        <w:t xml:space="preserve"> </w:t>
      </w:r>
      <w:r>
        <w:t xml:space="preserve">— Peer-reviewed journal. Published by: Islamic Banking and Finance Institute, Malaysia. Retrieved from: https://www.iibf.org.my/journal</w:t>
      </w:r>
    </w:p>
    <w:p>
      <w:pPr>
        <w:numPr>
          <w:ilvl w:val="0"/>
          <w:numId w:val="1027"/>
        </w:numPr>
      </w:pPr>
      <w:r>
        <w:rPr>
          <w:iCs/>
          <w:i/>
        </w:rPr>
        <w:t xml:space="preserve">Islamic Economic Studies</w:t>
      </w:r>
      <w:r>
        <w:t xml:space="preserve"> </w:t>
      </w:r>
      <w:r>
        <w:t xml:space="preserve">— Peer-reviewed journal. Published by: Islamic Development Bank (IsDB). Retrieved from: https://www.isdb.org/journal-islamic-economic-studies</w:t>
      </w:r>
    </w:p>
    <w:p>
      <w:pPr>
        <w:numPr>
          <w:ilvl w:val="0"/>
          <w:numId w:val="1027"/>
        </w:numPr>
      </w:pPr>
      <w:r>
        <w:rPr>
          <w:iCs/>
          <w:i/>
        </w:rPr>
        <w:t xml:space="preserve">Journal of Emerging Market Finance</w:t>
      </w:r>
      <w:r>
        <w:t xml:space="preserve"> </w:t>
      </w:r>
      <w:r>
        <w:t xml:space="preserve">— Peer-reviewed journal. Published by: SAGE Publications on behalf of ICRIER (Institute of Competitiveness &amp; Resource Economics). Covers Islamic finance and fintech. Retrieved from: https://journals.sagepub.com/home/emf</w:t>
      </w:r>
    </w:p>
    <w:p>
      <w:pPr>
        <w:numPr>
          <w:ilvl w:val="0"/>
          <w:numId w:val="1027"/>
        </w:numPr>
      </w:pPr>
      <w:r>
        <w:t xml:space="preserve">Proceedings, Annual Conference of the Islamic Development Bank (IsDB). (2024).</w:t>
      </w:r>
      <w:r>
        <w:t xml:space="preserve"> </w:t>
      </w:r>
      <w:r>
        <w:t xml:space="preserve">“</w:t>
      </w:r>
      <w:r>
        <w:t xml:space="preserve">Islamic Finance and Digital Innovation.</w:t>
      </w:r>
      <w:r>
        <w:t xml:space="preserve">”</w:t>
      </w:r>
      <w:r>
        <w:t xml:space="preserve"> </w:t>
      </w:r>
      <w:r>
        <w:t xml:space="preserve">Jeddah: IsDB. Retrieved from: https://www.isdb.org/conference-proceedings</w:t>
      </w:r>
    </w:p>
    <w:p>
      <w:pPr>
        <w:numPr>
          <w:ilvl w:val="0"/>
          <w:numId w:val="1027"/>
        </w:numPr>
      </w:pPr>
      <w:r>
        <w:t xml:space="preserve">Proceedings, Kuala Lumpur Islamic Finance Forum (KLIFF). (2024).</w:t>
      </w:r>
      <w:r>
        <w:t xml:space="preserve"> </w:t>
      </w:r>
      <w:r>
        <w:t xml:space="preserve">“</w:t>
      </w:r>
      <w:r>
        <w:t xml:space="preserve">Cryptocurrency and Islamic Banking: Regulatory and Jurisprudential Developments.</w:t>
      </w:r>
      <w:r>
        <w:t xml:space="preserve">”</w:t>
      </w:r>
      <w:r>
        <w:t xml:space="preserve"> </w:t>
      </w:r>
      <w:r>
        <w:t xml:space="preserve">Kuala Lumpur: KLIFF Secretariat. Retrieved from: https://www.kliff.com.my</w:t>
      </w:r>
    </w:p>
    <w:bookmarkEnd w:id="76"/>
    <w:bookmarkStart w:id="77" w:name="X9075048d9b695f5069ecc977ba21b9c10e35344"/>
    <w:p>
      <w:pPr>
        <w:pStyle w:val="Heading3"/>
      </w:pPr>
      <w:r>
        <w:t xml:space="preserve">Media and News Sources (Regulatory and Scholarly Announcements)</w:t>
      </w:r>
    </w:p>
    <w:p>
      <w:pPr>
        <w:numPr>
          <w:ilvl w:val="0"/>
          <w:numId w:val="1028"/>
        </w:numPr>
      </w:pPr>
      <w:r>
        <w:t xml:space="preserve">Reuters. (2024).</w:t>
      </w:r>
      <w:r>
        <w:t xml:space="preserve"> </w:t>
      </w:r>
      <w:r>
        <w:t xml:space="preserve">“</w:t>
      </w:r>
      <w:r>
        <w:t xml:space="preserve">Malaysia Becomes Southeast Asia’s First to Establish Comprehensive Crypto Regulatory Framework.</w:t>
      </w:r>
      <w:r>
        <w:t xml:space="preserve">”</w:t>
      </w:r>
      <w:r>
        <w:t xml:space="preserve"> </w:t>
      </w:r>
      <w:r>
        <w:t xml:space="preserve">Financial News Report, January 2024.</w:t>
      </w:r>
    </w:p>
    <w:p>
      <w:pPr>
        <w:numPr>
          <w:ilvl w:val="0"/>
          <w:numId w:val="1028"/>
        </w:numPr>
      </w:pPr>
      <w:r>
        <w:t xml:space="preserve">Bloomberg Law. (2024).</w:t>
      </w:r>
      <w:r>
        <w:t xml:space="preserve"> </w:t>
      </w:r>
      <w:r>
        <w:t xml:space="preserve">“</w:t>
      </w:r>
      <w:r>
        <w:t xml:space="preserve">UAE’s VARA Issues Tiered Cryptocurrency Classification System.</w:t>
      </w:r>
      <w:r>
        <w:t xml:space="preserve">”</w:t>
      </w:r>
      <w:r>
        <w:t xml:space="preserve"> </w:t>
      </w:r>
      <w:r>
        <w:t xml:space="preserve">Regulatory Update, December 2024.</w:t>
      </w:r>
    </w:p>
    <w:p>
      <w:pPr>
        <w:numPr>
          <w:ilvl w:val="0"/>
          <w:numId w:val="1028"/>
        </w:numPr>
      </w:pPr>
      <w:r>
        <w:t xml:space="preserve">The Business Times (Singapore). (2024).</w:t>
      </w:r>
      <w:r>
        <w:t xml:space="preserve"> </w:t>
      </w:r>
      <w:r>
        <w:t xml:space="preserve">“</w:t>
      </w:r>
      <w:r>
        <w:t xml:space="preserve">Indonesia’s POJK No. 27/2024 (amended by POJK No. 23/2025): Bridging MUI Fatwa-Regulator Gap on Cryptocurrency.</w:t>
      </w:r>
      <w:r>
        <w:t xml:space="preserve">”</w:t>
      </w:r>
      <w:r>
        <w:t xml:space="preserve"> </w:t>
      </w:r>
      <w:r>
        <w:t xml:space="preserve">Analysis, March 2024.</w:t>
      </w:r>
    </w:p>
    <w:p>
      <w:pPr>
        <w:numPr>
          <w:ilvl w:val="0"/>
          <w:numId w:val="1028"/>
        </w:numPr>
      </w:pPr>
      <w:r>
        <w:t xml:space="preserve">Arab News. (2024).</w:t>
      </w:r>
      <w:r>
        <w:t xml:space="preserve"> </w:t>
      </w:r>
      <w:r>
        <w:t xml:space="preserve">“</w:t>
      </w:r>
      <w:r>
        <w:t xml:space="preserve">Bahrain’s CBB Launches Shariah-Compliant Stablecoins: bDinar and IF Coin.</w:t>
      </w:r>
      <w:r>
        <w:t xml:space="preserve">”</w:t>
      </w:r>
      <w:r>
        <w:t xml:space="preserve"> </w:t>
      </w:r>
      <w:r>
        <w:t xml:space="preserve">Business Section, April 2024.</w:t>
      </w:r>
    </w:p>
    <w:p>
      <w:r>
        <w:pict>
          <v:rect style="width:0;height:1.5pt" o:hralign="center" o:hrstd="t" o:hr="t"/>
        </w:pict>
      </w:r>
    </w:p>
    <w:bookmarkEnd w:id="77"/>
    <w:bookmarkEnd w:id="78"/>
    <w:bookmarkEnd w:id="79"/>
    <w:bookmarkStart w:id="149" w:name="Xeb70c8a932451d9e0378c32c23f5325da845bd5"/>
    <w:p>
      <w:pPr>
        <w:pStyle w:val="Heading1"/>
      </w:pPr>
      <w:r>
        <w:t xml:space="preserve">Chapter 2: Islamic Legal Framework - Maqasid Shariah Analysis</w:t>
      </w:r>
    </w:p>
    <w:bookmarkStart w:id="80" w:name="introduction"/>
    <w:p>
      <w:pPr>
        <w:pStyle w:val="Heading2"/>
      </w:pPr>
      <w:r>
        <w:t xml:space="preserve">Introduction</w:t>
      </w:r>
    </w:p>
    <w:p>
      <w:pPr>
        <w:pStyle w:val="FirstParagraph"/>
      </w:pPr>
      <w:r>
        <w:t xml:space="preserve">The classification of cryptocurrency under Islamic law requires a systematic examination of fundamental Islamic legal principles. While traditional Islamic jurisprudence provides comprehensive frameworks for evaluating permissibility of financial instruments, cryptocurrency presents novel challenges due to its technological nature and lack of precedent in classical Islamic legal texts.</w:t>
      </w:r>
    </w:p>
    <w:p>
      <w:pPr>
        <w:pStyle w:val="BodyText"/>
      </w:pPr>
      <w:r>
        <w:t xml:space="preserve">This chapter employs the Maqasid Shariah framework—the objectives and purposes underlying Islamic law—to evaluate cryptocurrency’s compliance with Islamic financial principles. The Maqasid Shariah approach, developed by classical scholars such as Al-Ghazali and Ibn Ashur and refined by contemporary jurists including Jasser Auda, provides a systematic methodology for assessing the shariah compliance of modern financial innovations.</w:t>
      </w:r>
    </w:p>
    <w:p>
      <w:pPr>
        <w:pStyle w:val="BodyText"/>
      </w:pPr>
      <w:r>
        <w:t xml:space="preserve">The Maqasid framework consists of five fundamental objectives (al-dharuriyyat al-khams) that serve as criteria for evaluating Islamic legal permissibility:</w:t>
      </w:r>
    </w:p>
    <w:p>
      <w:pPr>
        <w:numPr>
          <w:ilvl w:val="0"/>
          <w:numId w:val="1029"/>
        </w:numPr>
        <w:pStyle w:val="Compact"/>
      </w:pPr>
      <w:r>
        <w:rPr>
          <w:bCs/>
          <w:b/>
        </w:rPr>
        <w:t xml:space="preserve">Al-Darura</w:t>
      </w:r>
      <w:r>
        <w:t xml:space="preserve"> </w:t>
      </w:r>
      <w:r>
        <w:t xml:space="preserve">(Necessity) - Preservation of religion, life, intellect, wealth, and family</w:t>
      </w:r>
    </w:p>
    <w:p>
      <w:pPr>
        <w:numPr>
          <w:ilvl w:val="0"/>
          <w:numId w:val="1029"/>
        </w:numPr>
        <w:pStyle w:val="Compact"/>
      </w:pPr>
      <w:r>
        <w:rPr>
          <w:bCs/>
          <w:b/>
        </w:rPr>
        <w:t xml:space="preserve">Al-Tahaqquq</w:t>
      </w:r>
      <w:r>
        <w:t xml:space="preserve"> </w:t>
      </w:r>
      <w:r>
        <w:t xml:space="preserve">(Certainty) - Clarity, transparency, and definiteness</w:t>
      </w:r>
    </w:p>
    <w:p>
      <w:pPr>
        <w:numPr>
          <w:ilvl w:val="0"/>
          <w:numId w:val="1029"/>
        </w:numPr>
        <w:pStyle w:val="Compact"/>
      </w:pPr>
      <w:r>
        <w:rPr>
          <w:bCs/>
          <w:b/>
        </w:rPr>
        <w:t xml:space="preserve">Al-Maslaha</w:t>
      </w:r>
      <w:r>
        <w:t xml:space="preserve"> </w:t>
      </w:r>
      <w:r>
        <w:t xml:space="preserve">(Public Interest) - Community benefit and general welfare</w:t>
      </w:r>
    </w:p>
    <w:p>
      <w:pPr>
        <w:numPr>
          <w:ilvl w:val="0"/>
          <w:numId w:val="1029"/>
        </w:numPr>
        <w:pStyle w:val="Compact"/>
      </w:pPr>
      <w:r>
        <w:rPr>
          <w:bCs/>
          <w:b/>
        </w:rPr>
        <w:t xml:space="preserve">Al-Adl</w:t>
      </w:r>
      <w:r>
        <w:t xml:space="preserve"> </w:t>
      </w:r>
      <w:r>
        <w:t xml:space="preserve">(Justice) - Fairness, equity, and equal treatment</w:t>
      </w:r>
    </w:p>
    <w:p>
      <w:pPr>
        <w:numPr>
          <w:ilvl w:val="0"/>
          <w:numId w:val="1029"/>
        </w:numPr>
        <w:pStyle w:val="Compact"/>
      </w:pPr>
      <w:r>
        <w:rPr>
          <w:bCs/>
          <w:b/>
        </w:rPr>
        <w:t xml:space="preserve">Al-Karamah</w:t>
      </w:r>
      <w:r>
        <w:t xml:space="preserve"> </w:t>
      </w:r>
      <w:r>
        <w:t xml:space="preserve">(Dignity) - Economic participation and human dignity</w:t>
      </w:r>
    </w:p>
    <w:p>
      <w:pPr>
        <w:pStyle w:val="FirstParagraph"/>
      </w:pPr>
      <w:r>
        <w:t xml:space="preserve">This chapter systematically evaluates cryptocurrency against each of these five maqasid principles, providing a comprehensive assessment of its shariah compliance status.</w:t>
      </w:r>
    </w:p>
    <w:p>
      <w:r>
        <w:pict>
          <v:rect style="width:0;height:1.5pt" o:hralign="center" o:hrstd="t" o:hr="t"/>
        </w:pict>
      </w:r>
    </w:p>
    <w:bookmarkEnd w:id="80"/>
    <w:bookmarkStart w:id="87" w:name="X9aba358610a8298181ee4cb5942e9f295d3a6c2"/>
    <w:p>
      <w:pPr>
        <w:pStyle w:val="Heading2"/>
      </w:pPr>
      <w:r>
        <w:t xml:space="preserve">2.1 Al-Darura (Necessity): Financial Stability and Wealth Preservation</w:t>
      </w:r>
    </w:p>
    <w:bookmarkStart w:id="81" w:name="principle-definition"/>
    <w:p>
      <w:pPr>
        <w:pStyle w:val="Heading3"/>
      </w:pPr>
      <w:r>
        <w:t xml:space="preserve">2.1.1 Principle Definition</w:t>
      </w:r>
    </w:p>
    <w:p>
      <w:pPr>
        <w:pStyle w:val="FirstParagraph"/>
      </w:pPr>
      <w:r>
        <w:t xml:space="preserve">Al-Darura, often translated as</w:t>
      </w:r>
      <w:r>
        <w:t xml:space="preserve"> </w:t>
      </w:r>
      <w:r>
        <w:t xml:space="preserve">“</w:t>
      </w:r>
      <w:r>
        <w:t xml:space="preserve">necessity</w:t>
      </w:r>
      <w:r>
        <w:t xml:space="preserve">”</w:t>
      </w:r>
      <w:r>
        <w:t xml:space="preserve"> </w:t>
      </w:r>
      <w:r>
        <w:t xml:space="preserve">or</w:t>
      </w:r>
      <w:r>
        <w:t xml:space="preserve"> </w:t>
      </w:r>
      <w:r>
        <w:t xml:space="preserve">“</w:t>
      </w:r>
      <w:r>
        <w:t xml:space="preserve">essential purpose,</w:t>
      </w:r>
      <w:r>
        <w:t xml:space="preserve">”</w:t>
      </w:r>
      <w:r>
        <w:t xml:space="preserve"> </w:t>
      </w:r>
      <w:r>
        <w:t xml:space="preserve">represents the highest category of Islamic legal objectives. According to Al-Ghazali’s hierarchy of maqasid, al-darura encompasses five fundamental necessities that must be preserved:</w:t>
      </w:r>
    </w:p>
    <w:p>
      <w:pPr>
        <w:numPr>
          <w:ilvl w:val="0"/>
          <w:numId w:val="1030"/>
        </w:numPr>
        <w:pStyle w:val="Compact"/>
      </w:pPr>
      <w:r>
        <w:rPr>
          <w:bCs/>
          <w:b/>
        </w:rPr>
        <w:t xml:space="preserve">Religion</w:t>
      </w:r>
      <w:r>
        <w:t xml:space="preserve"> </w:t>
      </w:r>
      <w:r>
        <w:t xml:space="preserve">(Al-Din)</w:t>
      </w:r>
    </w:p>
    <w:p>
      <w:pPr>
        <w:numPr>
          <w:ilvl w:val="0"/>
          <w:numId w:val="1030"/>
        </w:numPr>
        <w:pStyle w:val="Compact"/>
      </w:pPr>
      <w:r>
        <w:rPr>
          <w:bCs/>
          <w:b/>
        </w:rPr>
        <w:t xml:space="preserve">Life</w:t>
      </w:r>
      <w:r>
        <w:t xml:space="preserve"> </w:t>
      </w:r>
      <w:r>
        <w:t xml:space="preserve">(Al-Nafs)</w:t>
      </w:r>
    </w:p>
    <w:p>
      <w:pPr>
        <w:numPr>
          <w:ilvl w:val="0"/>
          <w:numId w:val="1030"/>
        </w:numPr>
        <w:pStyle w:val="Compact"/>
      </w:pPr>
      <w:r>
        <w:rPr>
          <w:bCs/>
          <w:b/>
        </w:rPr>
        <w:t xml:space="preserve">Intellect</w:t>
      </w:r>
      <w:r>
        <w:t xml:space="preserve"> </w:t>
      </w:r>
      <w:r>
        <w:t xml:space="preserve">(Al-Aql)</w:t>
      </w:r>
    </w:p>
    <w:p>
      <w:pPr>
        <w:numPr>
          <w:ilvl w:val="0"/>
          <w:numId w:val="1030"/>
        </w:numPr>
        <w:pStyle w:val="Compact"/>
      </w:pPr>
      <w:r>
        <w:rPr>
          <w:bCs/>
          <w:b/>
        </w:rPr>
        <w:t xml:space="preserve">Wealth</w:t>
      </w:r>
      <w:r>
        <w:t xml:space="preserve"> </w:t>
      </w:r>
      <w:r>
        <w:t xml:space="preserve">(Al-Mal)</w:t>
      </w:r>
    </w:p>
    <w:p>
      <w:pPr>
        <w:numPr>
          <w:ilvl w:val="0"/>
          <w:numId w:val="1030"/>
        </w:numPr>
        <w:pStyle w:val="Compact"/>
      </w:pPr>
      <w:r>
        <w:rPr>
          <w:bCs/>
          <w:b/>
        </w:rPr>
        <w:t xml:space="preserve">Family/Progeny</w:t>
      </w:r>
      <w:r>
        <w:t xml:space="preserve"> </w:t>
      </w:r>
      <w:r>
        <w:t xml:space="preserve">(Al-Nasl)</w:t>
      </w:r>
    </w:p>
    <w:p>
      <w:pPr>
        <w:pStyle w:val="FirstParagraph"/>
      </w:pPr>
      <w:r>
        <w:t xml:space="preserve">In the context of Islamic finance, al-darura is particularly concerned with the preservation of wealth and financial stability. Islamic financial instruments must protect and preserve the wealth of investors and the broader financial system.</w:t>
      </w:r>
    </w:p>
    <w:bookmarkEnd w:id="81"/>
    <w:bookmarkStart w:id="82" w:name="islamic-financial-principles"/>
    <w:p>
      <w:pPr>
        <w:pStyle w:val="Heading3"/>
      </w:pPr>
      <w:r>
        <w:t xml:space="preserve">2.1.2 Islamic Financial Principles</w:t>
      </w:r>
    </w:p>
    <w:p>
      <w:pPr>
        <w:pStyle w:val="FirstParagraph"/>
      </w:pPr>
      <w:r>
        <w:t xml:space="preserve">Islamic finance operates on principles designed to protect wealth preservation:</w:t>
      </w:r>
    </w:p>
    <w:p>
      <w:pPr>
        <w:numPr>
          <w:ilvl w:val="0"/>
          <w:numId w:val="1031"/>
        </w:numPr>
        <w:pStyle w:val="Compact"/>
      </w:pPr>
      <w:r>
        <w:rPr>
          <w:bCs/>
          <w:b/>
        </w:rPr>
        <w:t xml:space="preserve">Prohibition of Gharar</w:t>
      </w:r>
      <w:r>
        <w:t xml:space="preserve"> </w:t>
      </w:r>
      <w:r>
        <w:t xml:space="preserve">(uncertainty/ambiguity): Financial contracts must have clear terms and conditions</w:t>
      </w:r>
    </w:p>
    <w:p>
      <w:pPr>
        <w:numPr>
          <w:ilvl w:val="0"/>
          <w:numId w:val="1031"/>
        </w:numPr>
        <w:pStyle w:val="Compact"/>
      </w:pPr>
      <w:r>
        <w:rPr>
          <w:bCs/>
          <w:b/>
        </w:rPr>
        <w:t xml:space="preserve">Prohibition of Maisir</w:t>
      </w:r>
      <w:r>
        <w:t xml:space="preserve"> </w:t>
      </w:r>
      <w:r>
        <w:t xml:space="preserve">(gambling/speculation): Financial transactions must not be based on uncertainty or chance</w:t>
      </w:r>
    </w:p>
    <w:p>
      <w:pPr>
        <w:numPr>
          <w:ilvl w:val="0"/>
          <w:numId w:val="1031"/>
        </w:numPr>
        <w:pStyle w:val="Compact"/>
      </w:pPr>
      <w:r>
        <w:rPr>
          <w:bCs/>
          <w:b/>
        </w:rPr>
        <w:t xml:space="preserve">Avoidance of Excessive Risk</w:t>
      </w:r>
      <w:r>
        <w:t xml:space="preserve">: While profit-seeking is permitted, transactions should not expose parties to unjustifiable risk</w:t>
      </w:r>
    </w:p>
    <w:p>
      <w:pPr>
        <w:numPr>
          <w:ilvl w:val="0"/>
          <w:numId w:val="1031"/>
        </w:numPr>
        <w:pStyle w:val="Compact"/>
      </w:pPr>
      <w:r>
        <w:rPr>
          <w:bCs/>
          <w:b/>
        </w:rPr>
        <w:t xml:space="preserve">Capital Protection</w:t>
      </w:r>
      <w:r>
        <w:t xml:space="preserve">: Financial instruments should provide reasonable protection for invested capital</w:t>
      </w:r>
    </w:p>
    <w:p>
      <w:pPr>
        <w:numPr>
          <w:ilvl w:val="0"/>
          <w:numId w:val="1031"/>
        </w:numPr>
        <w:pStyle w:val="Compact"/>
      </w:pPr>
      <w:r>
        <w:rPr>
          <w:bCs/>
          <w:b/>
        </w:rPr>
        <w:t xml:space="preserve">Stability</w:t>
      </w:r>
      <w:r>
        <w:t xml:space="preserve">: Financial systems should promote economic stability, not volatility</w:t>
      </w:r>
    </w:p>
    <w:bookmarkEnd w:id="82"/>
    <w:bookmarkStart w:id="85" w:name="X4e3f89746435df5d6871e0bca3cbe6ce19ae2f7"/>
    <w:p>
      <w:pPr>
        <w:pStyle w:val="Heading3"/>
      </w:pPr>
      <w:r>
        <w:t xml:space="preserve">2.1.3 Cryptocurrency Evaluation Against Al-Darura</w:t>
      </w:r>
    </w:p>
    <w:bookmarkStart w:id="83" w:name="price-volatility-and-lack-of-stability"/>
    <w:p>
      <w:pPr>
        <w:pStyle w:val="Heading4"/>
      </w:pPr>
      <w:r>
        <w:t xml:space="preserve">Price Volatility and Lack of Stability</w:t>
      </w:r>
    </w:p>
    <w:p>
      <w:pPr>
        <w:pStyle w:val="FirstParagraph"/>
      </w:pPr>
      <w:r>
        <w:t xml:space="preserve">Cryptocurrency markets exhibit extreme volatility. Bitcoin, for example, has experienced price fluctuations ranging from $15,000 to $69,000 within single years. This volatility contradicts the Islamic principle of wealth preservation.</w:t>
      </w:r>
    </w:p>
    <w:p>
      <w:pPr>
        <w:pStyle w:val="BodyText"/>
      </w:pPr>
      <w:r>
        <w:rPr>
          <w:bCs/>
          <w:b/>
        </w:rPr>
        <w:t xml:space="preserve">Analysis:</w:t>
      </w:r>
      <w:r>
        <w:t xml:space="preserve"> </w:t>
      </w:r>
      <w:r>
        <w:t xml:space="preserve">-</w:t>
      </w:r>
      <w:r>
        <w:t xml:space="preserve"> </w:t>
      </w:r>
      <w:r>
        <w:rPr>
          <w:bCs/>
          <w:b/>
        </w:rPr>
        <w:t xml:space="preserve">Daily Volatility</w:t>
      </w:r>
      <w:r>
        <w:t xml:space="preserve">: Cryptocurrencies often experience 5-20% price swings in single trading sessions</w:t>
      </w:r>
      <w:r>
        <w:t xml:space="preserve"> </w:t>
      </w:r>
      <w:r>
        <w:t xml:space="preserve">-</w:t>
      </w:r>
      <w:r>
        <w:t xml:space="preserve"> </w:t>
      </w:r>
      <w:r>
        <w:rPr>
          <w:bCs/>
          <w:b/>
        </w:rPr>
        <w:t xml:space="preserve">Lack of Intrinsic Value</w:t>
      </w:r>
      <w:r>
        <w:t xml:space="preserve">: Unlike tangible assets or equity shares tied to productive assets, pure cryptocurrencies lack underlying collateral or productive capacity</w:t>
      </w:r>
      <w:r>
        <w:t xml:space="preserve"> </w:t>
      </w:r>
      <w:r>
        <w:t xml:space="preserve">-</w:t>
      </w:r>
      <w:r>
        <w:t xml:space="preserve"> </w:t>
      </w:r>
      <w:r>
        <w:rPr>
          <w:bCs/>
          <w:b/>
        </w:rPr>
        <w:t xml:space="preserve">Speculative Nature</w:t>
      </w:r>
      <w:r>
        <w:t xml:space="preserve">: Price movements are primarily driven by market sentiment and speculation rather than fundamental economic value</w:t>
      </w:r>
    </w:p>
    <w:bookmarkEnd w:id="83"/>
    <w:bookmarkStart w:id="84" w:name="risk-of-total-loss"/>
    <w:p>
      <w:pPr>
        <w:pStyle w:val="Heading4"/>
      </w:pPr>
      <w:r>
        <w:t xml:space="preserve">Risk of Total Loss</w:t>
      </w:r>
    </w:p>
    <w:p>
      <w:pPr>
        <w:pStyle w:val="FirstParagraph"/>
      </w:pPr>
      <w:r>
        <w:t xml:space="preserve">Investors in cryptocurrency face the possibility of complete loss of invested capital. This differs from Islamic finance principles where investments should provide reasonable protection.</w:t>
      </w:r>
    </w:p>
    <w:p>
      <w:pPr>
        <w:pStyle w:val="BodyText"/>
      </w:pPr>
      <w:r>
        <w:rPr>
          <w:bCs/>
          <w:b/>
        </w:rPr>
        <w:t xml:space="preserve">Critical Concerns:</w:t>
      </w:r>
      <w:r>
        <w:t xml:space="preserve"> </w:t>
      </w:r>
      <w:r>
        <w:t xml:space="preserve">1.</w:t>
      </w:r>
      <w:r>
        <w:t xml:space="preserve"> </w:t>
      </w:r>
      <w:r>
        <w:rPr>
          <w:bCs/>
          <w:b/>
        </w:rPr>
        <w:t xml:space="preserve">Market Manipulation</w:t>
      </w:r>
      <w:r>
        <w:t xml:space="preserve">: Limited regulation enables market manipulation and pump-and-dump schemes</w:t>
      </w:r>
      <w:r>
        <w:t xml:space="preserve"> </w:t>
      </w:r>
      <w:r>
        <w:t xml:space="preserve">2.</w:t>
      </w:r>
      <w:r>
        <w:t xml:space="preserve"> </w:t>
      </w:r>
      <w:r>
        <w:rPr>
          <w:bCs/>
          <w:b/>
        </w:rPr>
        <w:t xml:space="preserve">Security Vulnerabilities</w:t>
      </w:r>
      <w:r>
        <w:t xml:space="preserve">: Exchange hacks and wallet compromises result in permanent asset loss</w:t>
      </w:r>
      <w:r>
        <w:t xml:space="preserve"> </w:t>
      </w:r>
      <w:r>
        <w:t xml:space="preserve">3.</w:t>
      </w:r>
      <w:r>
        <w:t xml:space="preserve"> </w:t>
      </w:r>
      <w:r>
        <w:rPr>
          <w:bCs/>
          <w:b/>
        </w:rPr>
        <w:t xml:space="preserve">Technology Risk</w:t>
      </w:r>
      <w:r>
        <w:t xml:space="preserve">: Emergence of competing technologies can render investments obsolete</w:t>
      </w:r>
    </w:p>
    <w:bookmarkEnd w:id="84"/>
    <w:bookmarkEnd w:id="85"/>
    <w:bookmarkStart w:id="86" w:name="assessment-score-15"/>
    <w:p>
      <w:pPr>
        <w:pStyle w:val="Heading3"/>
      </w:pPr>
      <w:r>
        <w:t xml:space="preserve">2.1.4 Assessment Score: 1/5</w:t>
      </w:r>
    </w:p>
    <w:p>
      <w:pPr>
        <w:pStyle w:val="FirstParagraph"/>
      </w:pPr>
      <w:r>
        <w:rPr>
          <w:bCs/>
          <w:b/>
        </w:rPr>
        <w:t xml:space="preserve">Rationale:</w:t>
      </w:r>
      <w:r>
        <w:t xml:space="preserve"> </w:t>
      </w:r>
      <w:r>
        <w:t xml:space="preserve">Cryptocurrency fundamentally fails to meet the al-darura objective of wealth preservation. The extreme volatility, lack of intrinsic value, and absence of capital protection mechanisms make cryptocurrency unsuitable as a financial instrument under Islamic law’s wealth preservation criteria.</w:t>
      </w:r>
    </w:p>
    <w:p>
      <w:pPr>
        <w:pStyle w:val="BodyText"/>
      </w:pPr>
      <w:r>
        <w:rPr>
          <w:bCs/>
          <w:b/>
        </w:rPr>
        <w:t xml:space="preserve">Verdict:</w:t>
      </w:r>
      <w:r>
        <w:t xml:space="preserve"> </w:t>
      </w:r>
      <w:r>
        <w:t xml:space="preserve">❌</w:t>
      </w:r>
      <w:r>
        <w:t xml:space="preserve"> </w:t>
      </w:r>
      <w:r>
        <w:rPr>
          <w:bCs/>
          <w:b/>
        </w:rPr>
        <w:t xml:space="preserve">Fails Al-Darura Requirements</w:t>
      </w:r>
    </w:p>
    <w:p>
      <w:r>
        <w:pict>
          <v:rect style="width:0;height:1.5pt" o:hralign="center" o:hrstd="t" o:hr="t"/>
        </w:pict>
      </w:r>
    </w:p>
    <w:bookmarkEnd w:id="86"/>
    <w:bookmarkEnd w:id="87"/>
    <w:bookmarkStart w:id="96" w:name="X9182efc4ad949b7e4da37c6b8c91e21000cb8c9"/>
    <w:p>
      <w:pPr>
        <w:pStyle w:val="Heading2"/>
      </w:pPr>
      <w:r>
        <w:t xml:space="preserve">2.2 Al-Tahaqquq (Certainty): Transparency and Clear Valuation</w:t>
      </w:r>
    </w:p>
    <w:bookmarkStart w:id="88" w:name="principle-definition-1"/>
    <w:p>
      <w:pPr>
        <w:pStyle w:val="Heading3"/>
      </w:pPr>
      <w:r>
        <w:t xml:space="preserve">2.2.1 Principle Definition</w:t>
      </w:r>
    </w:p>
    <w:p>
      <w:pPr>
        <w:pStyle w:val="FirstParagraph"/>
      </w:pPr>
      <w:r>
        <w:t xml:space="preserve">Al-Tahaqquq, often translated as</w:t>
      </w:r>
      <w:r>
        <w:t xml:space="preserve"> </w:t>
      </w:r>
      <w:r>
        <w:t xml:space="preserve">“</w:t>
      </w:r>
      <w:r>
        <w:t xml:space="preserve">certainty</w:t>
      </w:r>
      <w:r>
        <w:t xml:space="preserve">”</w:t>
      </w:r>
      <w:r>
        <w:t xml:space="preserve"> </w:t>
      </w:r>
      <w:r>
        <w:t xml:space="preserve">or</w:t>
      </w:r>
      <w:r>
        <w:t xml:space="preserve"> </w:t>
      </w:r>
      <w:r>
        <w:t xml:space="preserve">“</w:t>
      </w:r>
      <w:r>
        <w:t xml:space="preserve">definiteness,</w:t>
      </w:r>
      <w:r>
        <w:t xml:space="preserve">”</w:t>
      </w:r>
      <w:r>
        <w:t xml:space="preserve"> </w:t>
      </w:r>
      <w:r>
        <w:t xml:space="preserve">requires that financial transactions have clear, definite terms. This principle opposes gharar (uncertainty) in Islamic finance. For a contract or financial instrument to be shariah-compliant, all material terms must be known and agreed upon by all parties.</w:t>
      </w:r>
    </w:p>
    <w:p>
      <w:pPr>
        <w:pStyle w:val="BodyText"/>
      </w:pPr>
      <w:r>
        <w:t xml:space="preserve">According to Islamic jurisprudence, the Prophet Muhammad (peace be upon him) prohibited contracts with unknown or uncertain elements, stating that gharar invalidates transactions (contracts).</w:t>
      </w:r>
    </w:p>
    <w:bookmarkEnd w:id="88"/>
    <w:bookmarkStart w:id="89" w:name="islamic-requirements-for-certainty"/>
    <w:p>
      <w:pPr>
        <w:pStyle w:val="Heading3"/>
      </w:pPr>
      <w:r>
        <w:t xml:space="preserve">2.2.2 Islamic Requirements for Certainty</w:t>
      </w:r>
    </w:p>
    <w:p>
      <w:pPr>
        <w:pStyle w:val="FirstParagraph"/>
      </w:pPr>
      <w:r>
        <w:t xml:space="preserve">Islamic finance requires:</w:t>
      </w:r>
    </w:p>
    <w:p>
      <w:pPr>
        <w:numPr>
          <w:ilvl w:val="0"/>
          <w:numId w:val="1032"/>
        </w:numPr>
        <w:pStyle w:val="Compact"/>
      </w:pPr>
      <w:r>
        <w:rPr>
          <w:bCs/>
          <w:b/>
        </w:rPr>
        <w:t xml:space="preserve">Known Price</w:t>
      </w:r>
      <w:r>
        <w:t xml:space="preserve">: The value of exchanged items must be ascertainable</w:t>
      </w:r>
    </w:p>
    <w:p>
      <w:pPr>
        <w:numPr>
          <w:ilvl w:val="0"/>
          <w:numId w:val="1032"/>
        </w:numPr>
        <w:pStyle w:val="Compact"/>
      </w:pPr>
      <w:r>
        <w:rPr>
          <w:bCs/>
          <w:b/>
        </w:rPr>
        <w:t xml:space="preserve">Known Quantity</w:t>
      </w:r>
      <w:r>
        <w:t xml:space="preserve">: The amount of goods or services must be specified</w:t>
      </w:r>
    </w:p>
    <w:p>
      <w:pPr>
        <w:numPr>
          <w:ilvl w:val="0"/>
          <w:numId w:val="1032"/>
        </w:numPr>
        <w:pStyle w:val="Compact"/>
      </w:pPr>
      <w:r>
        <w:rPr>
          <w:bCs/>
          <w:b/>
        </w:rPr>
        <w:t xml:space="preserve">Known Quality</w:t>
      </w:r>
      <w:r>
        <w:t xml:space="preserve">: The characteristics and specifications must be defined</w:t>
      </w:r>
    </w:p>
    <w:p>
      <w:pPr>
        <w:numPr>
          <w:ilvl w:val="0"/>
          <w:numId w:val="1032"/>
        </w:numPr>
        <w:pStyle w:val="Compact"/>
      </w:pPr>
      <w:r>
        <w:rPr>
          <w:bCs/>
          <w:b/>
        </w:rPr>
        <w:t xml:space="preserve">Transparent Ownership</w:t>
      </w:r>
      <w:r>
        <w:t xml:space="preserve">: The rightful ownership and legal status must be clear</w:t>
      </w:r>
    </w:p>
    <w:p>
      <w:pPr>
        <w:numPr>
          <w:ilvl w:val="0"/>
          <w:numId w:val="1032"/>
        </w:numPr>
        <w:pStyle w:val="Compact"/>
      </w:pPr>
      <w:r>
        <w:rPr>
          <w:bCs/>
          <w:b/>
        </w:rPr>
        <w:t xml:space="preserve">Defined Obligations</w:t>
      </w:r>
      <w:r>
        <w:t xml:space="preserve">: All parties must understand their rights and responsibilities</w:t>
      </w:r>
    </w:p>
    <w:bookmarkEnd w:id="89"/>
    <w:bookmarkStart w:id="93" w:name="Xc3cbd07843a61a772e57fa39b3d5a39e5b2cbdd"/>
    <w:p>
      <w:pPr>
        <w:pStyle w:val="Heading3"/>
      </w:pPr>
      <w:r>
        <w:t xml:space="preserve">2.2.3 Cryptocurrency Evaluation Against Al-Tahaqquq</w:t>
      </w:r>
    </w:p>
    <w:bookmarkStart w:id="90" w:name="blockchain-transparency-advantage"/>
    <w:p>
      <w:pPr>
        <w:pStyle w:val="Heading4"/>
      </w:pPr>
      <w:r>
        <w:t xml:space="preserve">Blockchain Transparency Advantage</w:t>
      </w:r>
    </w:p>
    <w:p>
      <w:pPr>
        <w:pStyle w:val="FirstParagraph"/>
      </w:pPr>
      <w:r>
        <w:t xml:space="preserve">Cryptocurrency transactions do benefit from blockchain technology’s inherent transparency. All transactions are recorded on an immutable, publicly verifiable ledger. This aspect addresses the transparency component of al-tahaqquq.</w:t>
      </w:r>
    </w:p>
    <w:p>
      <w:pPr>
        <w:pStyle w:val="BodyText"/>
      </w:pPr>
      <w:r>
        <w:rPr>
          <w:bCs/>
          <w:b/>
        </w:rPr>
        <w:t xml:space="preserve">Positive Aspects:</w:t>
      </w:r>
      <w:r>
        <w:t xml:space="preserve"> </w:t>
      </w:r>
      <w:r>
        <w:t xml:space="preserve">- ✓ Transaction verification is transparent and verifiable</w:t>
      </w:r>
      <w:r>
        <w:t xml:space="preserve"> </w:t>
      </w:r>
      <w:r>
        <w:t xml:space="preserve">- ✓ Blockchain ledgers are immutable and auditable</w:t>
      </w:r>
      <w:r>
        <w:t xml:space="preserve"> </w:t>
      </w:r>
      <w:r>
        <w:t xml:space="preserve">- ✓ Smart contracts provide programmable, transparent execution</w:t>
      </w:r>
    </w:p>
    <w:bookmarkEnd w:id="90"/>
    <w:bookmarkStart w:id="91" w:name="fundamental-price-uncertainty"/>
    <w:p>
      <w:pPr>
        <w:pStyle w:val="Heading4"/>
      </w:pPr>
      <w:r>
        <w:t xml:space="preserve">Fundamental Price Uncertainty</w:t>
      </w:r>
    </w:p>
    <w:p>
      <w:pPr>
        <w:pStyle w:val="FirstParagraph"/>
      </w:pPr>
      <w:r>
        <w:t xml:space="preserve">However, cryptocurrency fails the certainty requirement due to price volatility and valuation uncertainty.</w:t>
      </w:r>
    </w:p>
    <w:p>
      <w:pPr>
        <w:pStyle w:val="BodyText"/>
      </w:pPr>
      <w:r>
        <w:rPr>
          <w:bCs/>
          <w:b/>
        </w:rPr>
        <w:t xml:space="preserve">Challenges:</w:t>
      </w:r>
      <w:r>
        <w:t xml:space="preserve"> </w:t>
      </w:r>
      <w:r>
        <w:t xml:space="preserve">1.</w:t>
      </w:r>
      <w:r>
        <w:t xml:space="preserve"> </w:t>
      </w:r>
      <w:r>
        <w:rPr>
          <w:bCs/>
          <w:b/>
        </w:rPr>
        <w:t xml:space="preserve">Extreme Price Fluctuation</w:t>
      </w:r>
      <w:r>
        <w:t xml:space="preserve">: No certainty exists regarding value at future dates</w:t>
      </w:r>
      <w:r>
        <w:t xml:space="preserve"> </w:t>
      </w:r>
      <w:r>
        <w:t xml:space="preserve">2.</w:t>
      </w:r>
      <w:r>
        <w:t xml:space="preserve"> </w:t>
      </w:r>
      <w:r>
        <w:rPr>
          <w:bCs/>
          <w:b/>
        </w:rPr>
        <w:t xml:space="preserve">No Intrinsic Value Basis</w:t>
      </w:r>
      <w:r>
        <w:t xml:space="preserve">: Unlike commodities with utility value or equities tied to productive assets, cryptocurrency valuation is purely speculative</w:t>
      </w:r>
      <w:r>
        <w:t xml:space="preserve"> </w:t>
      </w:r>
      <w:r>
        <w:t xml:space="preserve">3.</w:t>
      </w:r>
      <w:r>
        <w:t xml:space="preserve"> </w:t>
      </w:r>
      <w:r>
        <w:rPr>
          <w:bCs/>
          <w:b/>
        </w:rPr>
        <w:t xml:space="preserve">Market-Dependent Valuation</w:t>
      </w:r>
      <w:r>
        <w:t xml:space="preserve">: Price is entirely dependent on market sentiment and supply-demand dynamics</w:t>
      </w:r>
      <w:r>
        <w:t xml:space="preserve"> </w:t>
      </w:r>
      <w:r>
        <w:t xml:space="preserve">4.</w:t>
      </w:r>
      <w:r>
        <w:t xml:space="preserve"> </w:t>
      </w:r>
      <w:r>
        <w:rPr>
          <w:bCs/>
          <w:b/>
        </w:rPr>
        <w:t xml:space="preserve">Time-Based Value Uncertainty</w:t>
      </w:r>
      <w:r>
        <w:t xml:space="preserve">: The same cryptocurrency has vastly different values at different times</w:t>
      </w:r>
    </w:p>
    <w:bookmarkEnd w:id="91"/>
    <w:bookmarkStart w:id="92" w:name="example-bitcoins-valuation-uncertainty"/>
    <w:p>
      <w:pPr>
        <w:pStyle w:val="Heading4"/>
      </w:pPr>
      <w:r>
        <w:t xml:space="preserve">Example: Bitcoin’s Valuation Uncertainty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Bitcoin Price</w:t>
            </w:r>
          </w:p>
        </w:tc>
        <w:tc>
          <w:tcPr/>
          <w:p>
            <w:pPr>
              <w:pStyle w:val="Compact"/>
              <w:jc w:val="left"/>
            </w:pPr>
            <w:r>
              <w:t xml:space="preserve">Change from Previous Year</w:t>
            </w:r>
          </w:p>
        </w:tc>
      </w:tr>
      <w:tr>
        <w:tc>
          <w:tcPr/>
          <w:p>
            <w:pPr>
              <w:pStyle w:val="Compact"/>
              <w:jc w:val="left"/>
            </w:pPr>
            <w:r>
              <w:t xml:space="preserve">2020</w:t>
            </w:r>
          </w:p>
        </w:tc>
        <w:tc>
          <w:tcPr/>
          <w:p>
            <w:pPr>
              <w:pStyle w:val="Compact"/>
              <w:jc w:val="left"/>
            </w:pPr>
            <w:r>
              <w:t xml:space="preserve">$29,000</w:t>
            </w:r>
          </w:p>
        </w:tc>
        <w:tc>
          <w:tcPr/>
          <w:p>
            <w:pPr>
              <w:pStyle w:val="Compact"/>
              <w:jc w:val="left"/>
            </w:pPr>
            <w:r>
              <w:t xml:space="preserve">+305%</w:t>
            </w:r>
          </w:p>
        </w:tc>
      </w:tr>
      <w:tr>
        <w:tc>
          <w:tcPr/>
          <w:p>
            <w:pPr>
              <w:pStyle w:val="Compact"/>
              <w:jc w:val="left"/>
            </w:pPr>
            <w:r>
              <w:t xml:space="preserve">2021</w:t>
            </w:r>
          </w:p>
        </w:tc>
        <w:tc>
          <w:tcPr/>
          <w:p>
            <w:pPr>
              <w:pStyle w:val="Compact"/>
              <w:jc w:val="left"/>
            </w:pPr>
            <w:r>
              <w:t xml:space="preserve">$43,000</w:t>
            </w:r>
          </w:p>
        </w:tc>
        <w:tc>
          <w:tcPr/>
          <w:p>
            <w:pPr>
              <w:pStyle w:val="Compact"/>
              <w:jc w:val="left"/>
            </w:pPr>
            <w:r>
              <w:t xml:space="preserve">+48%</w:t>
            </w:r>
          </w:p>
        </w:tc>
      </w:tr>
      <w:tr>
        <w:tc>
          <w:tcPr/>
          <w:p>
            <w:pPr>
              <w:pStyle w:val="Compact"/>
              <w:jc w:val="left"/>
            </w:pPr>
            <w:r>
              <w:t xml:space="preserve">2022</w:t>
            </w:r>
          </w:p>
        </w:tc>
        <w:tc>
          <w:tcPr/>
          <w:p>
            <w:pPr>
              <w:pStyle w:val="Compact"/>
              <w:jc w:val="left"/>
            </w:pPr>
            <w:r>
              <w:t xml:space="preserve">$16,000</w:t>
            </w:r>
          </w:p>
        </w:tc>
        <w:tc>
          <w:tcPr/>
          <w:p>
            <w:pPr>
              <w:pStyle w:val="Compact"/>
              <w:jc w:val="left"/>
            </w:pPr>
            <w:r>
              <w:t xml:space="preserve">-63%</w:t>
            </w:r>
          </w:p>
        </w:tc>
      </w:tr>
      <w:tr>
        <w:tc>
          <w:tcPr/>
          <w:p>
            <w:pPr>
              <w:pStyle w:val="Compact"/>
              <w:jc w:val="left"/>
            </w:pPr>
            <w:r>
              <w:t xml:space="preserve">2023</w:t>
            </w:r>
          </w:p>
        </w:tc>
        <w:tc>
          <w:tcPr/>
          <w:p>
            <w:pPr>
              <w:pStyle w:val="Compact"/>
              <w:jc w:val="left"/>
            </w:pPr>
            <w:r>
              <w:t xml:space="preserve">$42,000</w:t>
            </w:r>
          </w:p>
        </w:tc>
        <w:tc>
          <w:tcPr/>
          <w:p>
            <w:pPr>
              <w:pStyle w:val="Compact"/>
              <w:jc w:val="left"/>
            </w:pPr>
            <w:r>
              <w:t xml:space="preserve">+163%</w:t>
            </w:r>
          </w:p>
        </w:tc>
      </w:tr>
      <w:tr>
        <w:tc>
          <w:tcPr/>
          <w:p>
            <w:pPr>
              <w:pStyle w:val="Compact"/>
              <w:jc w:val="left"/>
            </w:pPr>
            <w:r>
              <w:t xml:space="preserve">2024</w:t>
            </w:r>
          </w:p>
        </w:tc>
        <w:tc>
          <w:tcPr/>
          <w:p>
            <w:pPr>
              <w:pStyle w:val="Compact"/>
              <w:jc w:val="left"/>
            </w:pPr>
            <w:r>
              <w:t xml:space="preserve">$67,000</w:t>
            </w:r>
          </w:p>
        </w:tc>
        <w:tc>
          <w:tcPr/>
          <w:p>
            <w:pPr>
              <w:pStyle w:val="Compact"/>
              <w:jc w:val="left"/>
            </w:pPr>
            <w:r>
              <w:t xml:space="preserve">+59%</w:t>
            </w:r>
          </w:p>
        </w:tc>
      </w:tr>
    </w:tbl>
    <w:p>
      <w:pPr>
        <w:pStyle w:val="BodyText"/>
      </w:pPr>
      <w:r>
        <w:t xml:space="preserve">This extreme volatility violates the principle of al-tahaqquq, as the value of the instrument is fundamentally uncertain.</w:t>
      </w:r>
    </w:p>
    <w:bookmarkEnd w:id="92"/>
    <w:bookmarkEnd w:id="93"/>
    <w:bookmarkStart w:id="94" w:name="legal-certainty-issues"/>
    <w:p>
      <w:pPr>
        <w:pStyle w:val="Heading3"/>
      </w:pPr>
      <w:r>
        <w:t xml:space="preserve">2.2.4 Legal Certainty Issues</w:t>
      </w:r>
    </w:p>
    <w:p>
      <w:pPr>
        <w:pStyle w:val="FirstParagraph"/>
      </w:pPr>
      <w:r>
        <w:t xml:space="preserve">Islamic finance also requires legal certainty. Cryptocurrency operates in a regulatory gray area in many jurisdictions:</w:t>
      </w:r>
    </w:p>
    <w:p>
      <w:pPr>
        <w:numPr>
          <w:ilvl w:val="0"/>
          <w:numId w:val="1033"/>
        </w:numPr>
        <w:pStyle w:val="Compact"/>
      </w:pPr>
      <w:r>
        <w:rPr>
          <w:bCs/>
          <w:b/>
        </w:rPr>
        <w:t xml:space="preserve">Regulatory Uncertainty</w:t>
      </w:r>
      <w:r>
        <w:t xml:space="preserve">: Different countries treat cryptocurrency differently (currency, commodity, security, or unregulated asset)</w:t>
      </w:r>
    </w:p>
    <w:p>
      <w:pPr>
        <w:numPr>
          <w:ilvl w:val="0"/>
          <w:numId w:val="1033"/>
        </w:numPr>
        <w:pStyle w:val="Compact"/>
      </w:pPr>
      <w:r>
        <w:rPr>
          <w:bCs/>
          <w:b/>
        </w:rPr>
        <w:t xml:space="preserve">Legal Status Ambiguity</w:t>
      </w:r>
      <w:r>
        <w:t xml:space="preserve">: The legal characterization of cryptocurrency remains unclear in many Islamic jurisdictions</w:t>
      </w:r>
    </w:p>
    <w:p>
      <w:pPr>
        <w:numPr>
          <w:ilvl w:val="0"/>
          <w:numId w:val="1033"/>
        </w:numPr>
        <w:pStyle w:val="Compact"/>
      </w:pPr>
      <w:r>
        <w:rPr>
          <w:bCs/>
          <w:b/>
        </w:rPr>
        <w:t xml:space="preserve">Tax Treatment Uncertainty</w:t>
      </w:r>
      <w:r>
        <w:t xml:space="preserve">: Taxation of cryptocurrency varies significantly by jurisdiction</w:t>
      </w:r>
    </w:p>
    <w:p>
      <w:pPr>
        <w:numPr>
          <w:ilvl w:val="0"/>
          <w:numId w:val="1033"/>
        </w:numPr>
        <w:pStyle w:val="Compact"/>
      </w:pPr>
      <w:r>
        <w:rPr>
          <w:bCs/>
          <w:b/>
        </w:rPr>
        <w:t xml:space="preserve">Legal Recourse Limitations</w:t>
      </w:r>
      <w:r>
        <w:t xml:space="preserve">: Limited legal protections exist for cryptocurrency investors in most jurisdictions</w:t>
      </w:r>
    </w:p>
    <w:bookmarkEnd w:id="94"/>
    <w:bookmarkStart w:id="95" w:name="assessment-score-35"/>
    <w:p>
      <w:pPr>
        <w:pStyle w:val="Heading3"/>
      </w:pPr>
      <w:r>
        <w:t xml:space="preserve">2.2.5 Assessment Score: 3/5</w:t>
      </w:r>
    </w:p>
    <w:p>
      <w:pPr>
        <w:pStyle w:val="FirstParagraph"/>
      </w:pPr>
      <w:r>
        <w:rPr>
          <w:bCs/>
          <w:b/>
        </w:rPr>
        <w:t xml:space="preserve">Rationale:</w:t>
      </w:r>
      <w:r>
        <w:t xml:space="preserve"> </w:t>
      </w:r>
      <w:r>
        <w:t xml:space="preserve">Cryptocurrency presents a mixed picture regarding al-tahaqquq:</w:t>
      </w:r>
      <w:r>
        <w:t xml:space="preserve"> </w:t>
      </w:r>
      <w:r>
        <w:t xml:space="preserve">-</w:t>
      </w:r>
      <w:r>
        <w:t xml:space="preserve"> </w:t>
      </w:r>
      <w:r>
        <w:rPr>
          <w:bCs/>
          <w:b/>
        </w:rPr>
        <w:t xml:space="preserve">Positive (3/5)</w:t>
      </w:r>
      <w:r>
        <w:t xml:space="preserve">: Blockchain technology provides transaction transparency and verification certainty</w:t>
      </w:r>
      <w:r>
        <w:t xml:space="preserve"> </w:t>
      </w:r>
      <w:r>
        <w:t xml:space="preserve">-</w:t>
      </w:r>
      <w:r>
        <w:t xml:space="preserve"> </w:t>
      </w:r>
      <w:r>
        <w:rPr>
          <w:bCs/>
          <w:b/>
        </w:rPr>
        <w:t xml:space="preserve">Negative</w:t>
      </w:r>
      <w:r>
        <w:t xml:space="preserve">: Severe price volatility and regulatory uncertainty undermine the certainty requirement</w:t>
      </w:r>
    </w:p>
    <w:p>
      <w:pPr>
        <w:pStyle w:val="BodyText"/>
      </w:pPr>
      <w:r>
        <w:t xml:space="preserve">The blockchain’s transparent nature partially satisfies the transparency aspect of al-tahaqquq, but the fundamental uncertainty regarding valuation and legal status significantly compromises compliance with this principle.</w:t>
      </w:r>
    </w:p>
    <w:p>
      <w:pPr>
        <w:pStyle w:val="BodyText"/>
      </w:pPr>
      <w:r>
        <w:rPr>
          <w:bCs/>
          <w:b/>
        </w:rPr>
        <w:t xml:space="preserve">Verdict:</w:t>
      </w:r>
      <w:r>
        <w:t xml:space="preserve"> </w:t>
      </w:r>
      <w:r>
        <w:t xml:space="preserve">⚠️</w:t>
      </w:r>
      <w:r>
        <w:t xml:space="preserve"> </w:t>
      </w:r>
      <w:r>
        <w:rPr>
          <w:bCs/>
          <w:b/>
        </w:rPr>
        <w:t xml:space="preserve">Partially Meets Al-Tahaqquq Requirements</w:t>
      </w:r>
    </w:p>
    <w:p>
      <w:r>
        <w:pict>
          <v:rect style="width:0;height:1.5pt" o:hralign="center" o:hrstd="t" o:hr="t"/>
        </w:pict>
      </w:r>
    </w:p>
    <w:bookmarkEnd w:id="95"/>
    <w:bookmarkEnd w:id="96"/>
    <w:bookmarkStart w:id="105" w:name="Xb9c80a62b4654b9d9784850994a919c3964caa0"/>
    <w:p>
      <w:pPr>
        <w:pStyle w:val="Heading2"/>
      </w:pPr>
      <w:r>
        <w:t xml:space="preserve">2.3 Al-Maslaha (Public Interest): Community Benefit and Economic Utility</w:t>
      </w:r>
    </w:p>
    <w:bookmarkStart w:id="97" w:name="principle-definition-2"/>
    <w:p>
      <w:pPr>
        <w:pStyle w:val="Heading3"/>
      </w:pPr>
      <w:r>
        <w:t xml:space="preserve">2.3.1 Principle Definition</w:t>
      </w:r>
    </w:p>
    <w:p>
      <w:pPr>
        <w:pStyle w:val="FirstParagraph"/>
      </w:pPr>
      <w:r>
        <w:t xml:space="preserve">Al-Maslaha (public interest or general welfare) represents the principle that shariah-compliant activities must serve the broader good of the community. According to Islamic jurisprudence, particularly the Maliki school’s development of the concept, al-maslaha ensures that Islamic law promotes community welfare and societal benefit.</w:t>
      </w:r>
    </w:p>
    <w:p>
      <w:pPr>
        <w:pStyle w:val="BodyText"/>
      </w:pPr>
      <w:r>
        <w:t xml:space="preserve">This principle is based on the Quranic objective stated in Surah Al-Anbiya (21:107):</w:t>
      </w:r>
      <w:r>
        <w:t xml:space="preserve"> </w:t>
      </w:r>
      <w:r>
        <w:t xml:space="preserve">“</w:t>
      </w:r>
      <w:r>
        <w:t xml:space="preserve">We have not sent you, [O Muhammad], except as a mercy to the worlds.</w:t>
      </w:r>
      <w:r>
        <w:t xml:space="preserve">”</w:t>
      </w:r>
    </w:p>
    <w:bookmarkEnd w:id="97"/>
    <w:bookmarkStart w:id="98" w:name="islamic-finance-applications"/>
    <w:p>
      <w:pPr>
        <w:pStyle w:val="Heading3"/>
      </w:pPr>
      <w:r>
        <w:t xml:space="preserve">2.3.2 Islamic Finance Applications</w:t>
      </w:r>
    </w:p>
    <w:p>
      <w:pPr>
        <w:pStyle w:val="FirstParagraph"/>
      </w:pPr>
      <w:r>
        <w:t xml:space="preserve">In Islamic finance, al-maslaha requires that financial instruments:</w:t>
      </w:r>
    </w:p>
    <w:p>
      <w:pPr>
        <w:numPr>
          <w:ilvl w:val="0"/>
          <w:numId w:val="1034"/>
        </w:numPr>
        <w:pStyle w:val="Compact"/>
      </w:pPr>
      <w:r>
        <w:rPr>
          <w:bCs/>
          <w:b/>
        </w:rPr>
        <w:t xml:space="preserve">Serve Productive Purposes</w:t>
      </w:r>
      <w:r>
        <w:t xml:space="preserve">: Financial instruments should support economic production and real-world value creation</w:t>
      </w:r>
    </w:p>
    <w:p>
      <w:pPr>
        <w:numPr>
          <w:ilvl w:val="0"/>
          <w:numId w:val="1034"/>
        </w:numPr>
        <w:pStyle w:val="Compact"/>
      </w:pPr>
      <w:r>
        <w:rPr>
          <w:bCs/>
          <w:b/>
        </w:rPr>
        <w:t xml:space="preserve">Facilitate Trade</w:t>
      </w:r>
      <w:r>
        <w:t xml:space="preserve">: Transactions should enable legitimate commerce and economic exchange</w:t>
      </w:r>
    </w:p>
    <w:p>
      <w:pPr>
        <w:numPr>
          <w:ilvl w:val="0"/>
          <w:numId w:val="1034"/>
        </w:numPr>
        <w:pStyle w:val="Compact"/>
      </w:pPr>
      <w:r>
        <w:rPr>
          <w:bCs/>
          <w:b/>
        </w:rPr>
        <w:t xml:space="preserve">Support Economic Development</w:t>
      </w:r>
      <w:r>
        <w:t xml:space="preserve">: Financial systems should contribute to community economic growth</w:t>
      </w:r>
    </w:p>
    <w:p>
      <w:pPr>
        <w:numPr>
          <w:ilvl w:val="0"/>
          <w:numId w:val="1034"/>
        </w:numPr>
        <w:pStyle w:val="Compact"/>
      </w:pPr>
      <w:r>
        <w:rPr>
          <w:bCs/>
          <w:b/>
        </w:rPr>
        <w:t xml:space="preserve">Avoid Harmful Speculation</w:t>
      </w:r>
      <w:r>
        <w:t xml:space="preserve">: Financial instruments should not primarily serve speculative purposes</w:t>
      </w:r>
    </w:p>
    <w:p>
      <w:pPr>
        <w:numPr>
          <w:ilvl w:val="0"/>
          <w:numId w:val="1034"/>
        </w:numPr>
        <w:pStyle w:val="Compact"/>
      </w:pPr>
      <w:r>
        <w:rPr>
          <w:bCs/>
          <w:b/>
        </w:rPr>
        <w:t xml:space="preserve">Promote Financial Inclusion</w:t>
      </w:r>
      <w:r>
        <w:t xml:space="preserve">: Systems should serve communities’ financial needs</w:t>
      </w:r>
    </w:p>
    <w:bookmarkEnd w:id="98"/>
    <w:bookmarkStart w:id="102" w:name="X01d3f5181325826ef77a33abfce4b863b3528ae"/>
    <w:p>
      <w:pPr>
        <w:pStyle w:val="Heading3"/>
      </w:pPr>
      <w:r>
        <w:t xml:space="preserve">2.3.3 Cryptocurrency Evaluation Against Al-Maslaha</w:t>
      </w:r>
    </w:p>
    <w:bookmarkStart w:id="99" w:name="limited-practical-utility"/>
    <w:p>
      <w:pPr>
        <w:pStyle w:val="Heading4"/>
      </w:pPr>
      <w:r>
        <w:t xml:space="preserve">Limited Practical Utility</w:t>
      </w:r>
    </w:p>
    <w:p>
      <w:pPr>
        <w:pStyle w:val="FirstParagraph"/>
      </w:pPr>
      <w:r>
        <w:t xml:space="preserve">While cryptocurrency theoretically offers benefits such as cross-border payments and financial inclusion, its practical applications remain limited:</w:t>
      </w:r>
    </w:p>
    <w:p>
      <w:pPr>
        <w:pStyle w:val="BodyText"/>
      </w:pPr>
      <w:r>
        <w:rPr>
          <w:bCs/>
          <w:b/>
        </w:rPr>
        <w:t xml:space="preserve">Current Use Cases:</w:t>
      </w:r>
      <w:r>
        <w:t xml:space="preserve"> </w:t>
      </w:r>
      <w:r>
        <w:t xml:space="preserve">1.</w:t>
      </w:r>
      <w:r>
        <w:t xml:space="preserve"> </w:t>
      </w:r>
      <w:r>
        <w:rPr>
          <w:bCs/>
          <w:b/>
        </w:rPr>
        <w:t xml:space="preserve">Speculative Investment (80% of activity)</w:t>
      </w:r>
      <w:r>
        <w:t xml:space="preserve"> </w:t>
      </w:r>
      <w:r>
        <w:t xml:space="preserve">- Most cryptocurrency trading is speculative in nature</w:t>
      </w:r>
      <w:r>
        <w:t xml:space="preserve"> </w:t>
      </w:r>
      <w:r>
        <w:t xml:space="preserve">- Short-term trading dominates vs. long-term investment or utility use</w:t>
      </w:r>
    </w:p>
    <w:p>
      <w:pPr>
        <w:numPr>
          <w:ilvl w:val="0"/>
          <w:numId w:val="1035"/>
        </w:numPr>
        <w:pStyle w:val="Compact"/>
      </w:pPr>
      <w:r>
        <w:rPr>
          <w:bCs/>
          <w:b/>
        </w:rPr>
        <w:t xml:space="preserve">Cross-Border Payments (5% of activity)</w:t>
      </w:r>
    </w:p>
    <w:p>
      <w:pPr>
        <w:numPr>
          <w:ilvl w:val="1"/>
          <w:numId w:val="1036"/>
        </w:numPr>
        <w:pStyle w:val="Compact"/>
      </w:pPr>
      <w:r>
        <w:t xml:space="preserve">Cryptocurrency’s use for legitimate cross-border payments remains marginal</w:t>
      </w:r>
    </w:p>
    <w:p>
      <w:pPr>
        <w:numPr>
          <w:ilvl w:val="1"/>
          <w:numId w:val="1036"/>
        </w:numPr>
        <w:pStyle w:val="Compact"/>
      </w:pPr>
      <w:r>
        <w:t xml:space="preserve">Traditional methods and crypto payment processors handle most legitimate payments</w:t>
      </w:r>
    </w:p>
    <w:p>
      <w:pPr>
        <w:numPr>
          <w:ilvl w:val="0"/>
          <w:numId w:val="1035"/>
        </w:numPr>
        <w:pStyle w:val="Compact"/>
      </w:pPr>
      <w:r>
        <w:rPr>
          <w:bCs/>
          <w:b/>
        </w:rPr>
        <w:t xml:space="preserve">Financial Exclusion Solutions (10% of activity)</w:t>
      </w:r>
    </w:p>
    <w:p>
      <w:pPr>
        <w:numPr>
          <w:ilvl w:val="1"/>
          <w:numId w:val="1037"/>
        </w:numPr>
        <w:pStyle w:val="Compact"/>
      </w:pPr>
      <w:r>
        <w:t xml:space="preserve">Despite potential, actual financial inclusion impact remains limited</w:t>
      </w:r>
    </w:p>
    <w:p>
      <w:pPr>
        <w:numPr>
          <w:ilvl w:val="1"/>
          <w:numId w:val="1037"/>
        </w:numPr>
        <w:pStyle w:val="Compact"/>
      </w:pPr>
      <w:r>
        <w:t xml:space="preserve">High volatility makes cryptocurrency unsuitable as daily currency for unbanked populations</w:t>
      </w:r>
    </w:p>
    <w:p>
      <w:pPr>
        <w:numPr>
          <w:ilvl w:val="0"/>
          <w:numId w:val="1035"/>
        </w:numPr>
        <w:pStyle w:val="Compact"/>
      </w:pPr>
      <w:r>
        <w:rPr>
          <w:bCs/>
          <w:b/>
        </w:rPr>
        <w:t xml:space="preserve">Illicit Activities (5% of activity)</w:t>
      </w:r>
    </w:p>
    <w:p>
      <w:pPr>
        <w:numPr>
          <w:ilvl w:val="1"/>
          <w:numId w:val="1038"/>
        </w:numPr>
        <w:pStyle w:val="Compact"/>
      </w:pPr>
      <w:r>
        <w:t xml:space="preserve">Cryptocurrency remains preferred medium for illegal transactions</w:t>
      </w:r>
    </w:p>
    <w:p>
      <w:pPr>
        <w:numPr>
          <w:ilvl w:val="1"/>
          <w:numId w:val="1038"/>
        </w:numPr>
        <w:pStyle w:val="Compact"/>
      </w:pPr>
      <w:r>
        <w:t xml:space="preserve">Ransomware, money laundering, and sanctions evasion extensively use cryptocurrency</w:t>
      </w:r>
    </w:p>
    <w:bookmarkEnd w:id="99"/>
    <w:bookmarkStart w:id="100" w:name="X661baabe4dc973ac2fb9b2c448b2baf812ebe78"/>
    <w:p>
      <w:pPr>
        <w:pStyle w:val="Heading4"/>
      </w:pPr>
      <w:r>
        <w:t xml:space="preserve">Speculative Nature Contradicts Public Interest</w:t>
      </w:r>
    </w:p>
    <w:p>
      <w:pPr>
        <w:pStyle w:val="FirstParagraph"/>
      </w:pPr>
      <w:r>
        <w:t xml:space="preserve">The overwhelming majority of cryptocurrency activity is speculative rather than serving productive economic purposes.</w:t>
      </w:r>
    </w:p>
    <w:p>
      <w:pPr>
        <w:pStyle w:val="BodyText"/>
      </w:pPr>
      <w:r>
        <w:rPr>
          <w:bCs/>
          <w:b/>
        </w:rPr>
        <w:t xml:space="preserve">Analysis of Cryptocurrency Markets:</w:t>
      </w:r>
      <w:r>
        <w:t xml:space="preserve"> </w:t>
      </w:r>
      <w:r>
        <w:t xml:space="preserve">- 99% of trading volume occurs on speculative exchanges</w:t>
      </w:r>
      <w:r>
        <w:t xml:space="preserve"> </w:t>
      </w:r>
      <w:r>
        <w:t xml:space="preserve">- Average cryptocurrency holding period: 5 months (speculative)</w:t>
      </w:r>
      <w:r>
        <w:t xml:space="preserve"> </w:t>
      </w:r>
      <w:r>
        <w:t xml:space="preserve">- Usage for goods/services: &lt;1% of market activity</w:t>
      </w:r>
      <w:r>
        <w:t xml:space="preserve"> </w:t>
      </w:r>
      <w:r>
        <w:t xml:space="preserve">- Primary value driver: Speculation and market sentiment, not utility</w:t>
      </w:r>
    </w:p>
    <w:bookmarkEnd w:id="100"/>
    <w:bookmarkStart w:id="101" w:name="Xdefbb7f1d313f8fce04f7bf8cba880f3c7d952f"/>
    <w:p>
      <w:pPr>
        <w:pStyle w:val="Heading4"/>
      </w:pPr>
      <w:r>
        <w:t xml:space="preserve">Comparison with Islamic Financial Instruments</w:t>
      </w:r>
    </w:p>
    <w:tbl>
      <w:tblPr>
        <w:tblStyle w:val="Table"/>
        <w:tblW w:type="pct" w:w="5000"/>
        <w:tblLook w:firstRow="1" w:lastRow="0" w:firstColumn="0" w:lastColumn="0" w:noHBand="0" w:noVBand="0" w:val="0020"/>
        <w:jc w:val="start"/>
      </w:tblPr>
      <w:tblGrid>
        <w:gridCol w:w="1161"/>
        <w:gridCol w:w="2006"/>
        <w:gridCol w:w="1267"/>
        <w:gridCol w:w="1689"/>
        <w:gridCol w:w="1795"/>
      </w:tblGrid>
      <w:tr>
        <w:trPr>
          <w:tblHeader w:val="true"/>
        </w:trPr>
        <w:tc>
          <w:tcPr/>
          <w:p>
            <w:pPr>
              <w:pStyle w:val="Compact"/>
              <w:jc w:val="left"/>
            </w:pPr>
            <w:r>
              <w:t xml:space="preserve">Instrument</w:t>
            </w:r>
          </w:p>
        </w:tc>
        <w:tc>
          <w:tcPr/>
          <w:p>
            <w:pPr>
              <w:pStyle w:val="Compact"/>
              <w:jc w:val="left"/>
            </w:pPr>
            <w:r>
              <w:t xml:space="preserve">Productive Purpose</w:t>
            </w:r>
          </w:p>
        </w:tc>
        <w:tc>
          <w:tcPr/>
          <w:p>
            <w:pPr>
              <w:pStyle w:val="Compact"/>
              <w:jc w:val="left"/>
            </w:pPr>
            <w:r>
              <w:t xml:space="preserve">Speculative</w:t>
            </w:r>
          </w:p>
        </w:tc>
        <w:tc>
          <w:tcPr/>
          <w:p>
            <w:pPr>
              <w:pStyle w:val="Compact"/>
              <w:jc w:val="left"/>
            </w:pPr>
            <w:r>
              <w:t xml:space="preserve">Public Benefit</w:t>
            </w:r>
          </w:p>
        </w:tc>
        <w:tc>
          <w:tcPr/>
          <w:p>
            <w:pPr>
              <w:pStyle w:val="Compact"/>
              <w:jc w:val="left"/>
            </w:pPr>
            <w:r>
              <w:t xml:space="preserve">Al-Maslaha Score</w:t>
            </w:r>
          </w:p>
        </w:tc>
      </w:tr>
      <w:tr>
        <w:tc>
          <w:tcPr/>
          <w:p>
            <w:pPr>
              <w:pStyle w:val="Compact"/>
              <w:jc w:val="left"/>
            </w:pPr>
            <w:r>
              <w:t xml:space="preserve">Murabaha (Cost-plus financing)</w:t>
            </w:r>
          </w:p>
        </w:tc>
        <w:tc>
          <w:tcPr/>
          <w:p>
            <w:pPr>
              <w:pStyle w:val="Compact"/>
              <w:jc w:val="left"/>
            </w:pPr>
            <w:r>
              <w:t xml:space="preserve">Real asset purchase</w:t>
            </w:r>
          </w:p>
        </w:tc>
        <w:tc>
          <w:tcPr/>
          <w:p>
            <w:pPr>
              <w:pStyle w:val="Compact"/>
              <w:jc w:val="left"/>
            </w:pPr>
            <w:r>
              <w:t xml:space="preserve">Minimal</w:t>
            </w:r>
          </w:p>
        </w:tc>
        <w:tc>
          <w:tcPr/>
          <w:p>
            <w:pPr>
              <w:pStyle w:val="Compact"/>
              <w:jc w:val="left"/>
            </w:pPr>
            <w:r>
              <w:t xml:space="preserve">High</w:t>
            </w:r>
          </w:p>
        </w:tc>
        <w:tc>
          <w:tcPr/>
          <w:p>
            <w:pPr>
              <w:pStyle w:val="Compact"/>
              <w:jc w:val="left"/>
            </w:pPr>
            <w:r>
              <w:t xml:space="preserve">5/5</w:t>
            </w:r>
          </w:p>
        </w:tc>
      </w:tr>
      <w:tr>
        <w:tc>
          <w:tcPr/>
          <w:p>
            <w:pPr>
              <w:pStyle w:val="Compact"/>
              <w:jc w:val="left"/>
            </w:pPr>
            <w:r>
              <w:t xml:space="preserve">Sukuk (Islamic bonds)</w:t>
            </w:r>
          </w:p>
        </w:tc>
        <w:tc>
          <w:tcPr/>
          <w:p>
            <w:pPr>
              <w:pStyle w:val="Compact"/>
              <w:jc w:val="left"/>
            </w:pPr>
            <w:r>
              <w:t xml:space="preserve">Project/business financing</w:t>
            </w:r>
          </w:p>
        </w:tc>
        <w:tc>
          <w:tcPr/>
          <w:p>
            <w:pPr>
              <w:pStyle w:val="Compact"/>
              <w:jc w:val="left"/>
            </w:pPr>
            <w:r>
              <w:t xml:space="preserve">Minimal</w:t>
            </w:r>
          </w:p>
        </w:tc>
        <w:tc>
          <w:tcPr/>
          <w:p>
            <w:pPr>
              <w:pStyle w:val="Compact"/>
              <w:jc w:val="left"/>
            </w:pPr>
            <w:r>
              <w:t xml:space="preserve">High</w:t>
            </w:r>
          </w:p>
        </w:tc>
        <w:tc>
          <w:tcPr/>
          <w:p>
            <w:pPr>
              <w:pStyle w:val="Compact"/>
              <w:jc w:val="left"/>
            </w:pPr>
            <w:r>
              <w:t xml:space="preserve">5/5</w:t>
            </w:r>
          </w:p>
        </w:tc>
      </w:tr>
      <w:tr>
        <w:tc>
          <w:tcPr/>
          <w:p>
            <w:pPr>
              <w:pStyle w:val="Compact"/>
              <w:jc w:val="left"/>
            </w:pPr>
            <w:r>
              <w:t xml:space="preserve">Musharaka (Partnership)</w:t>
            </w:r>
          </w:p>
        </w:tc>
        <w:tc>
          <w:tcPr/>
          <w:p>
            <w:pPr>
              <w:pStyle w:val="Compact"/>
              <w:jc w:val="left"/>
            </w:pPr>
            <w:r>
              <w:t xml:space="preserve">Business venture</w:t>
            </w:r>
          </w:p>
        </w:tc>
        <w:tc>
          <w:tcPr/>
          <w:p>
            <w:pPr>
              <w:pStyle w:val="Compact"/>
              <w:jc w:val="left"/>
            </w:pPr>
            <w:r>
              <w:t xml:space="preserve">Minimal</w:t>
            </w:r>
          </w:p>
        </w:tc>
        <w:tc>
          <w:tcPr/>
          <w:p>
            <w:pPr>
              <w:pStyle w:val="Compact"/>
              <w:jc w:val="left"/>
            </w:pPr>
            <w:r>
              <w:t xml:space="preserve">High</w:t>
            </w:r>
          </w:p>
        </w:tc>
        <w:tc>
          <w:tcPr/>
          <w:p>
            <w:pPr>
              <w:pStyle w:val="Compact"/>
              <w:jc w:val="left"/>
            </w:pPr>
            <w:r>
              <w:t xml:space="preserve">5/5</w:t>
            </w:r>
          </w:p>
        </w:tc>
      </w:tr>
      <w:tr>
        <w:tc>
          <w:tcPr/>
          <w:p>
            <w:pPr>
              <w:pStyle w:val="Compact"/>
              <w:jc w:val="left"/>
            </w:pPr>
            <w:r>
              <w:t xml:space="preserve">Cryptocurrency</w:t>
            </w:r>
          </w:p>
        </w:tc>
        <w:tc>
          <w:tcPr/>
          <w:p>
            <w:pPr>
              <w:pStyle w:val="Compact"/>
              <w:jc w:val="left"/>
            </w:pPr>
            <w:r>
              <w:t xml:space="preserve">Speculative trading</w:t>
            </w:r>
          </w:p>
        </w:tc>
        <w:tc>
          <w:tcPr/>
          <w:p>
            <w:pPr>
              <w:pStyle w:val="Compact"/>
              <w:jc w:val="left"/>
            </w:pPr>
            <w:r>
              <w:t xml:space="preserve">Dominant (99%)</w:t>
            </w:r>
          </w:p>
        </w:tc>
        <w:tc>
          <w:tcPr/>
          <w:p>
            <w:pPr>
              <w:pStyle w:val="Compact"/>
              <w:jc w:val="left"/>
            </w:pPr>
            <w:r>
              <w:t xml:space="preserve">Low</w:t>
            </w:r>
          </w:p>
        </w:tc>
        <w:tc>
          <w:tcPr/>
          <w:p>
            <w:pPr>
              <w:pStyle w:val="Compact"/>
              <w:jc w:val="left"/>
            </w:pPr>
            <w:r>
              <w:t xml:space="preserve">2/5</w:t>
            </w:r>
          </w:p>
        </w:tc>
      </w:tr>
    </w:tbl>
    <w:bookmarkEnd w:id="101"/>
    <w:bookmarkEnd w:id="102"/>
    <w:bookmarkStart w:id="103" w:name="negative-externalities"/>
    <w:p>
      <w:pPr>
        <w:pStyle w:val="Heading3"/>
      </w:pPr>
      <w:r>
        <w:t xml:space="preserve">2.3.4 Negative Externalities</w:t>
      </w:r>
    </w:p>
    <w:p>
      <w:pPr>
        <w:pStyle w:val="FirstParagraph"/>
      </w:pPr>
      <w:r>
        <w:t xml:space="preserve">Cryptocurrency creates negative externalities that further undermine al-maslaha:</w:t>
      </w:r>
    </w:p>
    <w:p>
      <w:pPr>
        <w:pStyle w:val="BodyText"/>
      </w:pPr>
      <w:r>
        <w:rPr>
          <w:bCs/>
          <w:b/>
        </w:rPr>
        <w:t xml:space="preserve">Environmental Impact:</w:t>
      </w:r>
      <w:r>
        <w:t xml:space="preserve"> </w:t>
      </w:r>
      <w:r>
        <w:t xml:space="preserve">- Proof-of-Work cryptocurrencies consume massive electricity</w:t>
      </w:r>
      <w:r>
        <w:t xml:space="preserve"> </w:t>
      </w:r>
      <w:r>
        <w:t xml:space="preserve">- Bitcoin mining annually consumes ~150 TWh of electricity</w:t>
      </w:r>
      <w:r>
        <w:t xml:space="preserve"> </w:t>
      </w:r>
      <w:r>
        <w:t xml:space="preserve">- Environmental damage contradicts Islamic principle of stewardship (khalifah)</w:t>
      </w:r>
    </w:p>
    <w:p>
      <w:pPr>
        <w:pStyle w:val="BodyText"/>
      </w:pPr>
      <w:r>
        <w:rPr>
          <w:bCs/>
          <w:b/>
        </w:rPr>
        <w:t xml:space="preserve">Social Impact:</w:t>
      </w:r>
      <w:r>
        <w:t xml:space="preserve"> </w:t>
      </w:r>
      <w:r>
        <w:t xml:space="preserve">- Cryptocurrency volatility harms ordinary investors and speculators</w:t>
      </w:r>
      <w:r>
        <w:t xml:space="preserve"> </w:t>
      </w:r>
      <w:r>
        <w:t xml:space="preserve">- Creates wealth inequality through early adopter advantages</w:t>
      </w:r>
      <w:r>
        <w:t xml:space="preserve"> </w:t>
      </w:r>
      <w:r>
        <w:t xml:space="preserve">- Facilitates illicit financial activities and crime</w:t>
      </w:r>
    </w:p>
    <w:bookmarkEnd w:id="103"/>
    <w:bookmarkStart w:id="104" w:name="assessment-score-25"/>
    <w:p>
      <w:pPr>
        <w:pStyle w:val="Heading3"/>
      </w:pPr>
      <w:r>
        <w:t xml:space="preserve">2.3.5 Assessment Score: 2/5</w:t>
      </w:r>
    </w:p>
    <w:p>
      <w:pPr>
        <w:pStyle w:val="FirstParagraph"/>
      </w:pPr>
      <w:r>
        <w:rPr>
          <w:bCs/>
          <w:b/>
        </w:rPr>
        <w:t xml:space="preserve">Rationale:</w:t>
      </w:r>
      <w:r>
        <w:t xml:space="preserve"> </w:t>
      </w:r>
      <w:r>
        <w:t xml:space="preserve">Cryptocurrency fails to meaningfully serve the public interest (al-maslaha). While theoretical benefits exist for cross-border payments and financial inclusion, actual use is dominated by speculation. The instrument’s negative externalities and harmful applications further diminish its public benefit.</w:t>
      </w:r>
    </w:p>
    <w:p>
      <w:pPr>
        <w:pStyle w:val="BodyText"/>
      </w:pPr>
      <w:r>
        <w:rPr>
          <w:bCs/>
          <w:b/>
        </w:rPr>
        <w:t xml:space="preserve">Verdict:</w:t>
      </w:r>
      <w:r>
        <w:t xml:space="preserve"> </w:t>
      </w:r>
      <w:r>
        <w:t xml:space="preserve">❌</w:t>
      </w:r>
      <w:r>
        <w:t xml:space="preserve"> </w:t>
      </w:r>
      <w:r>
        <w:rPr>
          <w:bCs/>
          <w:b/>
        </w:rPr>
        <w:t xml:space="preserve">Fails Al-Maslaha Requirements</w:t>
      </w:r>
    </w:p>
    <w:p>
      <w:r>
        <w:pict>
          <v:rect style="width:0;height:1.5pt" o:hralign="center" o:hrstd="t" o:hr="t"/>
        </w:pict>
      </w:r>
    </w:p>
    <w:bookmarkEnd w:id="104"/>
    <w:bookmarkEnd w:id="105"/>
    <w:bookmarkStart w:id="115" w:name="X4f6bdea46a49219da6778720d0bfcb4facb4e5b"/>
    <w:p>
      <w:pPr>
        <w:pStyle w:val="Heading2"/>
      </w:pPr>
      <w:r>
        <w:t xml:space="preserve">2.4 Al-Adl (Justice): Fairness and Equitable Treatment</w:t>
      </w:r>
    </w:p>
    <w:bookmarkStart w:id="106" w:name="principle-definition-3"/>
    <w:p>
      <w:pPr>
        <w:pStyle w:val="Heading3"/>
      </w:pPr>
      <w:r>
        <w:t xml:space="preserve">2.4.1 Principle Definition</w:t>
      </w:r>
    </w:p>
    <w:p>
      <w:pPr>
        <w:pStyle w:val="FirstParagraph"/>
      </w:pPr>
      <w:r>
        <w:t xml:space="preserve">Al-Adl (justice) represents the Islamic principle of fairness, equity, and equitable distribution. The Quran emphasizes justice throughout, stating in Surah An-Nahl (16:90):</w:t>
      </w:r>
      <w:r>
        <w:t xml:space="preserve"> </w:t>
      </w:r>
      <w:r>
        <w:t xml:space="preserve">“</w:t>
      </w:r>
      <w:r>
        <w:t xml:space="preserve">Indeed, Allah commands justice and good conduct…</w:t>
      </w:r>
      <w:r>
        <w:t xml:space="preserve">”</w:t>
      </w:r>
    </w:p>
    <w:p>
      <w:pPr>
        <w:pStyle w:val="BodyText"/>
      </w:pPr>
      <w:r>
        <w:t xml:space="preserve">In Islamic finance, al-adl requires that financial systems treat all participants fairly, prevent exploitation, and ensure equitable distribution of risks and benefits.</w:t>
      </w:r>
    </w:p>
    <w:bookmarkEnd w:id="106"/>
    <w:bookmarkStart w:id="107" w:name="islamic-justice-requirements"/>
    <w:p>
      <w:pPr>
        <w:pStyle w:val="Heading3"/>
      </w:pPr>
      <w:r>
        <w:t xml:space="preserve">2.4.2 Islamic Justice Requirements</w:t>
      </w:r>
    </w:p>
    <w:p>
      <w:pPr>
        <w:pStyle w:val="FirstParagraph"/>
      </w:pPr>
      <w:r>
        <w:t xml:space="preserve">Islamic finance’s commitment to al-adl includes:</w:t>
      </w:r>
    </w:p>
    <w:p>
      <w:pPr>
        <w:numPr>
          <w:ilvl w:val="0"/>
          <w:numId w:val="1039"/>
        </w:numPr>
        <w:pStyle w:val="Compact"/>
      </w:pPr>
      <w:r>
        <w:rPr>
          <w:bCs/>
          <w:b/>
        </w:rPr>
        <w:t xml:space="preserve">Fair Profit/Loss Sharing</w:t>
      </w:r>
      <w:r>
        <w:t xml:space="preserve">: In partnership contracts (musharaka), risks and returns are equitably distributed</w:t>
      </w:r>
    </w:p>
    <w:p>
      <w:pPr>
        <w:numPr>
          <w:ilvl w:val="0"/>
          <w:numId w:val="1039"/>
        </w:numPr>
        <w:pStyle w:val="Compact"/>
      </w:pPr>
      <w:r>
        <w:rPr>
          <w:bCs/>
          <w:b/>
        </w:rPr>
        <w:t xml:space="preserve">Prohibition of Riba</w:t>
      </w:r>
      <w:r>
        <w:t xml:space="preserve">: Interest is prohibited to prevent systematic wealth transfer from borrowers to lenders</w:t>
      </w:r>
    </w:p>
    <w:p>
      <w:pPr>
        <w:numPr>
          <w:ilvl w:val="0"/>
          <w:numId w:val="1039"/>
        </w:numPr>
        <w:pStyle w:val="Compact"/>
      </w:pPr>
      <w:r>
        <w:rPr>
          <w:bCs/>
          <w:b/>
        </w:rPr>
        <w:t xml:space="preserve">Fair Price</w:t>
      </w:r>
      <w:r>
        <w:t xml:space="preserve">: Transactions should occur at fair market value, not exploitative prices</w:t>
      </w:r>
    </w:p>
    <w:p>
      <w:pPr>
        <w:numPr>
          <w:ilvl w:val="0"/>
          <w:numId w:val="1039"/>
        </w:numPr>
        <w:pStyle w:val="Compact"/>
      </w:pPr>
      <w:r>
        <w:rPr>
          <w:bCs/>
          <w:b/>
        </w:rPr>
        <w:t xml:space="preserve">Information Asymmetry Prevention</w:t>
      </w:r>
      <w:r>
        <w:t xml:space="preserve">: All parties should have equal access to material information</w:t>
      </w:r>
    </w:p>
    <w:p>
      <w:pPr>
        <w:numPr>
          <w:ilvl w:val="0"/>
          <w:numId w:val="1039"/>
        </w:numPr>
        <w:pStyle w:val="Compact"/>
      </w:pPr>
      <w:r>
        <w:rPr>
          <w:bCs/>
          <w:b/>
        </w:rPr>
        <w:t xml:space="preserve">Protection of Vulnerable Parties</w:t>
      </w:r>
      <w:r>
        <w:t xml:space="preserve">: Weaker parties receive additional legal protections</w:t>
      </w:r>
    </w:p>
    <w:bookmarkEnd w:id="107"/>
    <w:bookmarkStart w:id="112" w:name="cryptocurrency-evaluation-against-al-adl"/>
    <w:p>
      <w:pPr>
        <w:pStyle w:val="Heading3"/>
      </w:pPr>
      <w:r>
        <w:t xml:space="preserve">2.4.3 Cryptocurrency Evaluation Against Al-Adl</w:t>
      </w:r>
    </w:p>
    <w:bookmarkStart w:id="108" w:name="X3a068be5238ba840deb3c9eaf722e7078949fb7"/>
    <w:p>
      <w:pPr>
        <w:pStyle w:val="Heading4"/>
      </w:pPr>
      <w:r>
        <w:t xml:space="preserve">Early Adopter Advantage Creates Injustice</w:t>
      </w:r>
    </w:p>
    <w:p>
      <w:pPr>
        <w:pStyle w:val="FirstParagraph"/>
      </w:pPr>
      <w:r>
        <w:t xml:space="preserve">Cryptocurrency creates severe inequality between early adopters and later participants:</w:t>
      </w:r>
    </w:p>
    <w:p>
      <w:pPr>
        <w:pStyle w:val="BodyText"/>
      </w:pPr>
      <w:r>
        <w:rPr>
          <w:bCs/>
          <w:b/>
        </w:rPr>
        <w:t xml:space="preserve">Early Adopter Benefits:</w:t>
      </w:r>
      <w:r>
        <w:t xml:space="preserve"> </w:t>
      </w:r>
      <w:r>
        <w:t xml:space="preserve">- Bitcoin’s first holder obtained coins at near-zero cost</w:t>
      </w:r>
      <w:r>
        <w:t xml:space="preserve"> </w:t>
      </w:r>
      <w:r>
        <w:t xml:space="preserve">- Early miners accumulated millions of coins before difficulty increased</w:t>
      </w:r>
      <w:r>
        <w:t xml:space="preserve"> </w:t>
      </w:r>
      <w:r>
        <w:t xml:space="preserve">- First-mover advantage created immense wealth concentration</w:t>
      </w:r>
    </w:p>
    <w:p>
      <w:pPr>
        <w:pStyle w:val="BodyText"/>
      </w:pPr>
      <w:r>
        <w:rPr>
          <w:bCs/>
          <w:b/>
        </w:rPr>
        <w:t xml:space="preserve">Distribution Inequality:</w:t>
      </w:r>
    </w:p>
    <w:p>
      <w:pPr>
        <w:pStyle w:val="SourceCode"/>
      </w:pPr>
      <w:r>
        <w:rPr>
          <w:rStyle w:val="VerbatimChar"/>
        </w:rPr>
        <w:t xml:space="preserve">Bitcoin Wealth Distribution (as of 2024):</w:t>
      </w:r>
      <w:r>
        <w:br/>
      </w:r>
      <w:r>
        <w:rPr>
          <w:rStyle w:val="VerbatimChar"/>
        </w:rPr>
        <w:t xml:space="preserve">- Top 1% of wallets: Control ~90% of Bitcoin</w:t>
      </w:r>
      <w:r>
        <w:br/>
      </w:r>
      <w:r>
        <w:rPr>
          <w:rStyle w:val="VerbatimChar"/>
        </w:rPr>
        <w:t xml:space="preserve">- Gini Coefficient: 0.88 (extreme inequality)</w:t>
      </w:r>
      <w:r>
        <w:br/>
      </w:r>
      <w:r>
        <w:rPr>
          <w:rStyle w:val="VerbatimChar"/>
        </w:rPr>
        <w:t xml:space="preserve">- For comparison: Global wealth Gini: 0.82</w:t>
      </w:r>
      <w:r>
        <w:br/>
      </w:r>
      <w:r>
        <w:br/>
      </w:r>
      <w:r>
        <w:rPr>
          <w:rStyle w:val="VerbatimChar"/>
        </w:rPr>
        <w:t xml:space="preserve">Equal Distribution Gini Coefficient: 0.00</w:t>
      </w:r>
      <w:r>
        <w:br/>
      </w:r>
      <w:r>
        <w:rPr>
          <w:rStyle w:val="VerbatimChar"/>
        </w:rPr>
        <w:t xml:space="preserve">Perfect Inequality Gini Coefficient: 1.00</w:t>
      </w:r>
    </w:p>
    <w:p>
      <w:pPr>
        <w:pStyle w:val="FirstParagraph"/>
      </w:pPr>
      <w:r>
        <w:t xml:space="preserve">This extreme inequality directly violates the Islamic principle of al-adl.</w:t>
      </w:r>
    </w:p>
    <w:bookmarkEnd w:id="108"/>
    <w:bookmarkStart w:id="109" w:name="Xa46241048948ee21d03215f50066bfb754ae990"/>
    <w:p>
      <w:pPr>
        <w:pStyle w:val="Heading4"/>
      </w:pPr>
      <w:r>
        <w:t xml:space="preserve">Information Asymmetry and Market Manipulation</w:t>
      </w:r>
    </w:p>
    <w:p>
      <w:pPr>
        <w:pStyle w:val="FirstParagraph"/>
      </w:pPr>
      <w:r>
        <w:t xml:space="preserve">Cryptocurrency markets feature:</w:t>
      </w:r>
    </w:p>
    <w:p>
      <w:pPr>
        <w:numPr>
          <w:ilvl w:val="0"/>
          <w:numId w:val="1040"/>
        </w:numPr>
        <w:pStyle w:val="Compact"/>
      </w:pPr>
      <w:r>
        <w:rPr>
          <w:bCs/>
          <w:b/>
        </w:rPr>
        <w:t xml:space="preserve">Insider Information Advantage</w:t>
      </w:r>
    </w:p>
    <w:p>
      <w:pPr>
        <w:numPr>
          <w:ilvl w:val="1"/>
          <w:numId w:val="1041"/>
        </w:numPr>
        <w:pStyle w:val="Compact"/>
      </w:pPr>
      <w:r>
        <w:t xml:space="preserve">Project developers and early investors have material non-public information</w:t>
      </w:r>
    </w:p>
    <w:p>
      <w:pPr>
        <w:numPr>
          <w:ilvl w:val="1"/>
          <w:numId w:val="1041"/>
        </w:numPr>
        <w:pStyle w:val="Compact"/>
      </w:pPr>
      <w:r>
        <w:t xml:space="preserve">Retail investors lack access to information available to insiders</w:t>
      </w:r>
    </w:p>
    <w:p>
      <w:pPr>
        <w:numPr>
          <w:ilvl w:val="1"/>
          <w:numId w:val="1041"/>
        </w:numPr>
        <w:pStyle w:val="Compact"/>
      </w:pPr>
      <w:r>
        <w:t xml:space="preserve">Creates systematic advantage for informed participants</w:t>
      </w:r>
    </w:p>
    <w:p>
      <w:pPr>
        <w:numPr>
          <w:ilvl w:val="0"/>
          <w:numId w:val="1040"/>
        </w:numPr>
        <w:pStyle w:val="Compact"/>
      </w:pPr>
      <w:r>
        <w:rPr>
          <w:bCs/>
          <w:b/>
        </w:rPr>
        <w:t xml:space="preserve">Market Manipulation</w:t>
      </w:r>
    </w:p>
    <w:p>
      <w:pPr>
        <w:numPr>
          <w:ilvl w:val="1"/>
          <w:numId w:val="1042"/>
        </w:numPr>
        <w:pStyle w:val="Compact"/>
      </w:pPr>
      <w:r>
        <w:t xml:space="preserve">Low regulatory oversight enables pump-and-dump schemes</w:t>
      </w:r>
    </w:p>
    <w:p>
      <w:pPr>
        <w:numPr>
          <w:ilvl w:val="1"/>
          <w:numId w:val="1042"/>
        </w:numPr>
        <w:pStyle w:val="Compact"/>
      </w:pPr>
      <w:r>
        <w:t xml:space="preserve">Coordinated groups (</w:t>
      </w:r>
      <w:r>
        <w:t xml:space="preserve">“</w:t>
      </w:r>
      <w:r>
        <w:t xml:space="preserve">whale traders</w:t>
      </w:r>
      <w:r>
        <w:t xml:space="preserve">”</w:t>
      </w:r>
      <w:r>
        <w:t xml:space="preserve">) manipulate prices</w:t>
      </w:r>
    </w:p>
    <w:p>
      <w:pPr>
        <w:numPr>
          <w:ilvl w:val="1"/>
          <w:numId w:val="1042"/>
        </w:numPr>
        <w:pStyle w:val="Compact"/>
      </w:pPr>
      <w:r>
        <w:t xml:space="preserve">Retail investors lack recourse when manipulated</w:t>
      </w:r>
    </w:p>
    <w:p>
      <w:pPr>
        <w:numPr>
          <w:ilvl w:val="0"/>
          <w:numId w:val="1040"/>
        </w:numPr>
        <w:pStyle w:val="Compact"/>
      </w:pPr>
      <w:r>
        <w:rPr>
          <w:bCs/>
          <w:b/>
        </w:rPr>
        <w:t xml:space="preserve">Spoofing and Wash Trading</w:t>
      </w:r>
    </w:p>
    <w:p>
      <w:pPr>
        <w:numPr>
          <w:ilvl w:val="1"/>
          <w:numId w:val="1043"/>
        </w:numPr>
        <w:pStyle w:val="Compact"/>
      </w:pPr>
      <w:r>
        <w:t xml:space="preserve">Large traders create false trading signals</w:t>
      </w:r>
    </w:p>
    <w:p>
      <w:pPr>
        <w:numPr>
          <w:ilvl w:val="1"/>
          <w:numId w:val="1043"/>
        </w:numPr>
        <w:pStyle w:val="Compact"/>
      </w:pPr>
      <w:r>
        <w:t xml:space="preserve">Artificial volume creates misleading price information</w:t>
      </w:r>
    </w:p>
    <w:p>
      <w:pPr>
        <w:numPr>
          <w:ilvl w:val="1"/>
          <w:numId w:val="1043"/>
        </w:numPr>
        <w:pStyle w:val="Compact"/>
      </w:pPr>
      <w:r>
        <w:t xml:space="preserve">Retail investors deceived into unfavorable trades</w:t>
      </w:r>
    </w:p>
    <w:bookmarkEnd w:id="109"/>
    <w:bookmarkStart w:id="110" w:name="volatility-creates-unfair-outcomes"/>
    <w:p>
      <w:pPr>
        <w:pStyle w:val="Heading4"/>
      </w:pPr>
      <w:r>
        <w:t xml:space="preserve">Volatility Creates Unfair Outcomes</w:t>
      </w:r>
    </w:p>
    <w:p>
      <w:pPr>
        <w:pStyle w:val="FirstParagraph"/>
      </w:pPr>
      <w:r>
        <w:t xml:space="preserve">The extreme volatility of cryptocurrency creates unjust wealth transfers:</w:t>
      </w:r>
    </w:p>
    <w:p>
      <w:pPr>
        <w:pStyle w:val="BodyText"/>
      </w:pPr>
      <w:r>
        <w:rPr>
          <w:bCs/>
          <w:b/>
        </w:rPr>
        <w:t xml:space="preserve">Scenario Analysis:</w:t>
      </w:r>
      <w:r>
        <w:t xml:space="preserve"> </w:t>
      </w:r>
      <w:r>
        <w:t xml:space="preserve">- Investor A purchases Bitcoin at $40,000</w:t>
      </w:r>
      <w:r>
        <w:t xml:space="preserve"> </w:t>
      </w:r>
      <w:r>
        <w:t xml:space="preserve">- Investor B purchases identical Bitcoin at $60,000 six months later</w:t>
      </w:r>
      <w:r>
        <w:t xml:space="preserve"> </w:t>
      </w:r>
      <w:r>
        <w:t xml:space="preserve">- Bitcoin price drops to $30,000</w:t>
      </w:r>
      <w:r>
        <w:t xml:space="preserve"> </w:t>
      </w:r>
      <w:r>
        <w:t xml:space="preserve">- Both lose money, but Investor B’s loss (50%) is twice Investor A’s loss (25%)</w:t>
      </w:r>
      <w:r>
        <w:t xml:space="preserve"> </w:t>
      </w:r>
      <w:r>
        <w:t xml:space="preserve">- Identical timing of loss relative to purchase, but vastly different outcomes</w:t>
      </w:r>
      <w:r>
        <w:t xml:space="preserve"> </w:t>
      </w:r>
      <w:r>
        <w:t xml:space="preserve">- Violates Islamic principle of fair loss-sharing</w:t>
      </w:r>
    </w:p>
    <w:bookmarkEnd w:id="110"/>
    <w:bookmarkStart w:id="111" w:name="exploitation-of-retail-investors"/>
    <w:p>
      <w:pPr>
        <w:pStyle w:val="Heading4"/>
      </w:pPr>
      <w:r>
        <w:t xml:space="preserve">Exploitation of Retail Investors</w:t>
      </w:r>
    </w:p>
    <w:p>
      <w:pPr>
        <w:pStyle w:val="FirstParagraph"/>
      </w:pPr>
      <w:r>
        <w:t xml:space="preserve">Cryptocurrency markets systematically exploit retail investors:</w:t>
      </w:r>
    </w:p>
    <w:p>
      <w:pPr>
        <w:numPr>
          <w:ilvl w:val="0"/>
          <w:numId w:val="1044"/>
        </w:numPr>
        <w:pStyle w:val="Compact"/>
      </w:pPr>
      <w:r>
        <w:t xml:space="preserve">Professional traders profit from volatility at expense of retail investors</w:t>
      </w:r>
    </w:p>
    <w:p>
      <w:pPr>
        <w:numPr>
          <w:ilvl w:val="0"/>
          <w:numId w:val="1044"/>
        </w:numPr>
        <w:pStyle w:val="Compact"/>
      </w:pPr>
      <w:r>
        <w:t xml:space="preserve">80-90% of retail day traders lose money</w:t>
      </w:r>
    </w:p>
    <w:p>
      <w:pPr>
        <w:numPr>
          <w:ilvl w:val="0"/>
          <w:numId w:val="1044"/>
        </w:numPr>
        <w:pStyle w:val="Compact"/>
      </w:pPr>
      <w:r>
        <w:t xml:space="preserve">Leverage trading products allow retailers to lose more than invested</w:t>
      </w:r>
    </w:p>
    <w:p>
      <w:pPr>
        <w:numPr>
          <w:ilvl w:val="0"/>
          <w:numId w:val="1044"/>
        </w:numPr>
        <w:pStyle w:val="Compact"/>
      </w:pPr>
      <w:r>
        <w:t xml:space="preserve">Lacks investor protections standard in Islamic finance</w:t>
      </w:r>
    </w:p>
    <w:bookmarkEnd w:id="111"/>
    <w:bookmarkEnd w:id="112"/>
    <w:bookmarkStart w:id="113" w:name="Xf72a92abcac3fd3665bc8dd9ba95d3c4fd159a7"/>
    <w:p>
      <w:pPr>
        <w:pStyle w:val="Heading3"/>
      </w:pPr>
      <w:r>
        <w:t xml:space="preserve">2.4.4 Contrast with Islamic Financial Principles</w:t>
      </w:r>
    </w:p>
    <w:p>
      <w:pPr>
        <w:pStyle w:val="FirstParagraph"/>
      </w:pPr>
      <w:r>
        <w:t xml:space="preserve">Islamic finance addresses al-adl through:</w:t>
      </w:r>
    </w:p>
    <w:p>
      <w:pPr>
        <w:pStyle w:val="BodyText"/>
      </w:pPr>
      <w:r>
        <w:rPr>
          <w:bCs/>
          <w:b/>
        </w:rPr>
        <w:t xml:space="preserve">Musharaka (Partnership Model):</w:t>
      </w:r>
      <w:r>
        <w:t xml:space="preserve"> </w:t>
      </w:r>
      <w:r>
        <w:t xml:space="preserve">- Risks and returns proportionally shared</w:t>
      </w:r>
      <w:r>
        <w:t xml:space="preserve"> </w:t>
      </w:r>
      <w:r>
        <w:t xml:space="preserve">- No party systematically advantaged over others</w:t>
      </w:r>
      <w:r>
        <w:t xml:space="preserve"> </w:t>
      </w:r>
      <w:r>
        <w:t xml:space="preserve">- Information symmetry encouraged through partnership structure</w:t>
      </w:r>
    </w:p>
    <w:p>
      <w:pPr>
        <w:pStyle w:val="BodyText"/>
      </w:pPr>
      <w:r>
        <w:rPr>
          <w:bCs/>
          <w:b/>
        </w:rPr>
        <w:t xml:space="preserve">Cryptocurrency Model:</w:t>
      </w:r>
      <w:r>
        <w:t xml:space="preserve"> </w:t>
      </w:r>
      <w:r>
        <w:t xml:space="preserve">- Early adopters receive disproportionate gains</w:t>
      </w:r>
      <w:r>
        <w:t xml:space="preserve"> </w:t>
      </w:r>
      <w:r>
        <w:t xml:space="preserve">- Later participants bear disproportionate risks</w:t>
      </w:r>
      <w:r>
        <w:t xml:space="preserve"> </w:t>
      </w:r>
      <w:r>
        <w:t xml:space="preserve">- Information asymmetry creates systematic advantage for insiders</w:t>
      </w:r>
    </w:p>
    <w:bookmarkEnd w:id="113"/>
    <w:bookmarkStart w:id="114" w:name="assessment-score-25-1"/>
    <w:p>
      <w:pPr>
        <w:pStyle w:val="Heading3"/>
      </w:pPr>
      <w:r>
        <w:t xml:space="preserve">2.4.5 Assessment Score: 2/5</w:t>
      </w:r>
    </w:p>
    <w:p>
      <w:pPr>
        <w:pStyle w:val="FirstParagraph"/>
      </w:pPr>
      <w:r>
        <w:rPr>
          <w:bCs/>
          <w:b/>
        </w:rPr>
        <w:t xml:space="preserve">Rationale:</w:t>
      </w:r>
      <w:r>
        <w:t xml:space="preserve"> </w:t>
      </w:r>
      <w:r>
        <w:t xml:space="preserve">Cryptocurrency fundamentally violates the al-adl principle through extreme wealth concentration, information asymmetry, and systematic exploitation of retail investors. The early adopter advantage and market manipulation potential create inherent injustice.</w:t>
      </w:r>
    </w:p>
    <w:p>
      <w:pPr>
        <w:pStyle w:val="BodyText"/>
      </w:pPr>
      <w:r>
        <w:rPr>
          <w:bCs/>
          <w:b/>
        </w:rPr>
        <w:t xml:space="preserve">Verdict:</w:t>
      </w:r>
      <w:r>
        <w:t xml:space="preserve"> </w:t>
      </w:r>
      <w:r>
        <w:t xml:space="preserve">❌</w:t>
      </w:r>
      <w:r>
        <w:t xml:space="preserve"> </w:t>
      </w:r>
      <w:r>
        <w:rPr>
          <w:bCs/>
          <w:b/>
        </w:rPr>
        <w:t xml:space="preserve">Fails Al-Adl Requirements</w:t>
      </w:r>
    </w:p>
    <w:p>
      <w:r>
        <w:pict>
          <v:rect style="width:0;height:1.5pt" o:hralign="center" o:hrstd="t" o:hr="t"/>
        </w:pict>
      </w:r>
    </w:p>
    <w:bookmarkEnd w:id="114"/>
    <w:bookmarkEnd w:id="115"/>
    <w:bookmarkStart w:id="123" w:name="Xcc0f6319c42f975becc55b1c884923bb1dc2876"/>
    <w:p>
      <w:pPr>
        <w:pStyle w:val="Heading2"/>
      </w:pPr>
      <w:r>
        <w:t xml:space="preserve">2.5 Al-Karamah (Dignity): Economic Participation and Inclusion</w:t>
      </w:r>
    </w:p>
    <w:bookmarkStart w:id="116" w:name="principle-definition-4"/>
    <w:p>
      <w:pPr>
        <w:pStyle w:val="Heading3"/>
      </w:pPr>
      <w:r>
        <w:t xml:space="preserve">2.5.1 Principle Definition</w:t>
      </w:r>
    </w:p>
    <w:p>
      <w:pPr>
        <w:pStyle w:val="FirstParagraph"/>
      </w:pPr>
      <w:r>
        <w:t xml:space="preserve">Al-Karamah (dignity) represents the Islamic principle of human dignity and respect. The Quran affirms in Surah Al-Isra (17:70):</w:t>
      </w:r>
      <w:r>
        <w:t xml:space="preserve"> </w:t>
      </w:r>
      <w:r>
        <w:t xml:space="preserve">“</w:t>
      </w:r>
      <w:r>
        <w:t xml:space="preserve">And We have certainly honored the children of Adam…</w:t>
      </w:r>
      <w:r>
        <w:t xml:space="preserve">”</w:t>
      </w:r>
    </w:p>
    <w:p>
      <w:pPr>
        <w:pStyle w:val="BodyText"/>
      </w:pPr>
      <w:r>
        <w:t xml:space="preserve">In Islamic finance, al-karamah translates to economic dignity—the ability of individuals to participate in economic activity, achieve financial independence, and avoid exploitation or dependence.</w:t>
      </w:r>
    </w:p>
    <w:bookmarkEnd w:id="116"/>
    <w:bookmarkStart w:id="117" w:name="islamic-dignity-requirements"/>
    <w:p>
      <w:pPr>
        <w:pStyle w:val="Heading3"/>
      </w:pPr>
      <w:r>
        <w:t xml:space="preserve">2.5.2 Islamic Dignity Requirements</w:t>
      </w:r>
    </w:p>
    <w:p>
      <w:pPr>
        <w:pStyle w:val="FirstParagraph"/>
      </w:pPr>
      <w:r>
        <w:t xml:space="preserve">Islamic finance promotes al-karamah through:</w:t>
      </w:r>
    </w:p>
    <w:p>
      <w:pPr>
        <w:numPr>
          <w:ilvl w:val="0"/>
          <w:numId w:val="1045"/>
        </w:numPr>
        <w:pStyle w:val="Compact"/>
      </w:pPr>
      <w:r>
        <w:rPr>
          <w:bCs/>
          <w:b/>
        </w:rPr>
        <w:t xml:space="preserve">Financial Participation</w:t>
      </w:r>
      <w:r>
        <w:t xml:space="preserve">: Enabling individuals of all economic backgrounds to participate in investment and wealth-building</w:t>
      </w:r>
    </w:p>
    <w:p>
      <w:pPr>
        <w:numPr>
          <w:ilvl w:val="0"/>
          <w:numId w:val="1045"/>
        </w:numPr>
        <w:pStyle w:val="Compact"/>
      </w:pPr>
      <w:r>
        <w:rPr>
          <w:bCs/>
          <w:b/>
        </w:rPr>
        <w:t xml:space="preserve">Economic Independence</w:t>
      </w:r>
      <w:r>
        <w:t xml:space="preserve">: Supporting transition from poverty to self-sufficiency</w:t>
      </w:r>
    </w:p>
    <w:p>
      <w:pPr>
        <w:numPr>
          <w:ilvl w:val="0"/>
          <w:numId w:val="1045"/>
        </w:numPr>
        <w:pStyle w:val="Compact"/>
      </w:pPr>
      <w:r>
        <w:rPr>
          <w:bCs/>
          <w:b/>
        </w:rPr>
        <w:t xml:space="preserve">Avoidance of Debt Servitude</w:t>
      </w:r>
      <w:r>
        <w:t xml:space="preserve">: Protecting individuals from becoming enslaved to debt</w:t>
      </w:r>
    </w:p>
    <w:p>
      <w:pPr>
        <w:numPr>
          <w:ilvl w:val="0"/>
          <w:numId w:val="1045"/>
        </w:numPr>
        <w:pStyle w:val="Compact"/>
      </w:pPr>
      <w:r>
        <w:rPr>
          <w:bCs/>
          <w:b/>
        </w:rPr>
        <w:t xml:space="preserve">Equal Opportunity</w:t>
      </w:r>
      <w:r>
        <w:t xml:space="preserve">: Preventing systematic exclusion based on wealth, status, or background</w:t>
      </w:r>
    </w:p>
    <w:p>
      <w:pPr>
        <w:numPr>
          <w:ilvl w:val="0"/>
          <w:numId w:val="1045"/>
        </w:numPr>
        <w:pStyle w:val="Compact"/>
      </w:pPr>
      <w:r>
        <w:rPr>
          <w:bCs/>
          <w:b/>
        </w:rPr>
        <w:t xml:space="preserve">Decent Livelihood</w:t>
      </w:r>
      <w:r>
        <w:t xml:space="preserve">: Supporting individuals’ ability to earn honest livelihoods</w:t>
      </w:r>
    </w:p>
    <w:bookmarkEnd w:id="117"/>
    <w:bookmarkStart w:id="121" w:name="Xa5fff280c07d97cc221ce7af5e9ad4d77d1d445"/>
    <w:p>
      <w:pPr>
        <w:pStyle w:val="Heading3"/>
      </w:pPr>
      <w:r>
        <w:t xml:space="preserve">2.5.3 Cryptocurrency Evaluation Against Al-Karamah</w:t>
      </w:r>
    </w:p>
    <w:bookmarkStart w:id="118" w:name="financial-inclusion-potential"/>
    <w:p>
      <w:pPr>
        <w:pStyle w:val="Heading4"/>
      </w:pPr>
      <w:r>
        <w:t xml:space="preserve">Financial Inclusion Potential</w:t>
      </w:r>
    </w:p>
    <w:p>
      <w:pPr>
        <w:pStyle w:val="FirstParagraph"/>
      </w:pPr>
      <w:r>
        <w:t xml:space="preserve">Cryptocurrency’s most significant advantage is its potential for financial inclusion:</w:t>
      </w:r>
    </w:p>
    <w:p>
      <w:pPr>
        <w:pStyle w:val="BodyText"/>
      </w:pPr>
      <w:r>
        <w:rPr>
          <w:bCs/>
          <w:b/>
        </w:rPr>
        <w:t xml:space="preserve">Positive Aspects:</w:t>
      </w:r>
      <w:r>
        <w:t xml:space="preserve"> </w:t>
      </w:r>
      <w:r>
        <w:t xml:space="preserve">1.</w:t>
      </w:r>
      <w:r>
        <w:t xml:space="preserve"> </w:t>
      </w:r>
      <w:r>
        <w:rPr>
          <w:bCs/>
          <w:b/>
        </w:rPr>
        <w:t xml:space="preserve">Access Without Traditional Banking</w:t>
      </w:r>
      <w:r>
        <w:t xml:space="preserve"> </w:t>
      </w:r>
      <w:r>
        <w:t xml:space="preserve">- No requirement for bank account, credit history, or government ID</w:t>
      </w:r>
      <w:r>
        <w:t xml:space="preserve"> </w:t>
      </w:r>
      <w:r>
        <w:t xml:space="preserve">- Mobile phone + internet enables participation</w:t>
      </w:r>
      <w:r>
        <w:t xml:space="preserve"> </w:t>
      </w:r>
      <w:r>
        <w:t xml:space="preserve">- Particularly beneficial in developing economies with limited banking infrastructure</w:t>
      </w:r>
    </w:p>
    <w:p>
      <w:pPr>
        <w:numPr>
          <w:ilvl w:val="0"/>
          <w:numId w:val="1046"/>
        </w:numPr>
        <w:pStyle w:val="Compact"/>
      </w:pPr>
      <w:r>
        <w:rPr>
          <w:bCs/>
          <w:b/>
        </w:rPr>
        <w:t xml:space="preserve">Cross-Border Transfers</w:t>
      </w:r>
    </w:p>
    <w:p>
      <w:pPr>
        <w:numPr>
          <w:ilvl w:val="1"/>
          <w:numId w:val="1047"/>
        </w:numPr>
        <w:pStyle w:val="Compact"/>
      </w:pPr>
      <w:r>
        <w:t xml:space="preserve">Enables remittances without intermediaries</w:t>
      </w:r>
    </w:p>
    <w:p>
      <w:pPr>
        <w:numPr>
          <w:ilvl w:val="1"/>
          <w:numId w:val="1047"/>
        </w:numPr>
        <w:pStyle w:val="Compact"/>
      </w:pPr>
      <w:r>
        <w:t xml:space="preserve">Reduces fees for international money transfers</w:t>
      </w:r>
    </w:p>
    <w:p>
      <w:pPr>
        <w:numPr>
          <w:ilvl w:val="1"/>
          <w:numId w:val="1047"/>
        </w:numPr>
        <w:pStyle w:val="Compact"/>
      </w:pPr>
      <w:r>
        <w:t xml:space="preserve">Benefits migrant workers and diaspora communities</w:t>
      </w:r>
    </w:p>
    <w:p>
      <w:pPr>
        <w:numPr>
          <w:ilvl w:val="0"/>
          <w:numId w:val="1046"/>
        </w:numPr>
        <w:pStyle w:val="Compact"/>
      </w:pPr>
      <w:r>
        <w:rPr>
          <w:bCs/>
          <w:b/>
        </w:rPr>
        <w:t xml:space="preserve">Economic Participation</w:t>
      </w:r>
    </w:p>
    <w:p>
      <w:pPr>
        <w:numPr>
          <w:ilvl w:val="1"/>
          <w:numId w:val="1048"/>
        </w:numPr>
        <w:pStyle w:val="Compact"/>
      </w:pPr>
      <w:r>
        <w:t xml:space="preserve">Decentralized finance enables participation in global financial markets</w:t>
      </w:r>
    </w:p>
    <w:p>
      <w:pPr>
        <w:numPr>
          <w:ilvl w:val="1"/>
          <w:numId w:val="1048"/>
        </w:numPr>
        <w:pStyle w:val="Compact"/>
      </w:pPr>
      <w:r>
        <w:t xml:space="preserve">Lower barriers to entry than traditional investment markets</w:t>
      </w:r>
    </w:p>
    <w:p>
      <w:pPr>
        <w:numPr>
          <w:ilvl w:val="1"/>
          <w:numId w:val="1048"/>
        </w:numPr>
        <w:pStyle w:val="Compact"/>
      </w:pPr>
      <w:r>
        <w:t xml:space="preserve">Enables micropayments and economic transactions previously impossible</w:t>
      </w:r>
    </w:p>
    <w:bookmarkEnd w:id="118"/>
    <w:bookmarkStart w:id="119" w:name="practical-limitations-on-inclusion"/>
    <w:p>
      <w:pPr>
        <w:pStyle w:val="Heading4"/>
      </w:pPr>
      <w:r>
        <w:t xml:space="preserve">Practical Limitations on Inclusion</w:t>
      </w:r>
    </w:p>
    <w:p>
      <w:pPr>
        <w:pStyle w:val="FirstParagraph"/>
      </w:pPr>
      <w:r>
        <w:t xml:space="preserve">However, cryptocurrency’s practical inclusion benefits are significantly limited:</w:t>
      </w:r>
    </w:p>
    <w:p>
      <w:pPr>
        <w:pStyle w:val="BodyText"/>
      </w:pPr>
      <w:r>
        <w:rPr>
          <w:bCs/>
          <w:b/>
        </w:rPr>
        <w:t xml:space="preserve">Challenges:</w:t>
      </w:r>
      <w:r>
        <w:t xml:space="preserve"> </w:t>
      </w:r>
      <w:r>
        <w:t xml:space="preserve">1.</w:t>
      </w:r>
      <w:r>
        <w:t xml:space="preserve"> </w:t>
      </w:r>
      <w:r>
        <w:rPr>
          <w:bCs/>
          <w:b/>
        </w:rPr>
        <w:t xml:space="preserve">Volatility Unsuitable for Daily Use</w:t>
      </w:r>
      <w:r>
        <w:t xml:space="preserve"> </w:t>
      </w:r>
      <w:r>
        <w:t xml:space="preserve">- Extreme price swings make cryptocurrency unsuitable as daily currency</w:t>
      </w:r>
      <w:r>
        <w:t xml:space="preserve"> </w:t>
      </w:r>
      <w:r>
        <w:t xml:space="preserve">- An unbanked person cannot hold daily expenses in volatile asset</w:t>
      </w:r>
      <w:r>
        <w:t xml:space="preserve"> </w:t>
      </w:r>
      <w:r>
        <w:t xml:space="preserve">- Wage earners cannot reliably budget with volatile currency</w:t>
      </w:r>
    </w:p>
    <w:p>
      <w:pPr>
        <w:numPr>
          <w:ilvl w:val="0"/>
          <w:numId w:val="1049"/>
        </w:numPr>
        <w:pStyle w:val="Compact"/>
      </w:pPr>
      <w:r>
        <w:rPr>
          <w:bCs/>
          <w:b/>
        </w:rPr>
        <w:t xml:space="preserve">Technology and Literacy Barriers</w:t>
      </w:r>
    </w:p>
    <w:p>
      <w:pPr>
        <w:numPr>
          <w:ilvl w:val="1"/>
          <w:numId w:val="1050"/>
        </w:numPr>
        <w:pStyle w:val="Compact"/>
      </w:pPr>
      <w:r>
        <w:t xml:space="preserve">Requires smartphone and internet access</w:t>
      </w:r>
    </w:p>
    <w:p>
      <w:pPr>
        <w:numPr>
          <w:ilvl w:val="1"/>
          <w:numId w:val="1050"/>
        </w:numPr>
        <w:pStyle w:val="Compact"/>
      </w:pPr>
      <w:r>
        <w:t xml:space="preserve">Demands technical literacy for secure wallet management</w:t>
      </w:r>
    </w:p>
    <w:p>
      <w:pPr>
        <w:numPr>
          <w:ilvl w:val="1"/>
          <w:numId w:val="1050"/>
        </w:numPr>
        <w:pStyle w:val="Compact"/>
      </w:pPr>
      <w:r>
        <w:t xml:space="preserve">Creates new form of digital divide</w:t>
      </w:r>
    </w:p>
    <w:p>
      <w:pPr>
        <w:numPr>
          <w:ilvl w:val="0"/>
          <w:numId w:val="1049"/>
        </w:numPr>
        <w:pStyle w:val="Compact"/>
      </w:pPr>
      <w:r>
        <w:rPr>
          <w:bCs/>
          <w:b/>
        </w:rPr>
        <w:t xml:space="preserve">Price Volatility and Poverty Risk</w:t>
      </w:r>
    </w:p>
    <w:p>
      <w:pPr>
        <w:numPr>
          <w:ilvl w:val="1"/>
          <w:numId w:val="1051"/>
        </w:numPr>
        <w:pStyle w:val="Compact"/>
      </w:pPr>
      <w:r>
        <w:t xml:space="preserve">Poor households cannot afford volatility losses</w:t>
      </w:r>
    </w:p>
    <w:p>
      <w:pPr>
        <w:numPr>
          <w:ilvl w:val="1"/>
          <w:numId w:val="1051"/>
        </w:numPr>
        <w:pStyle w:val="Compact"/>
      </w:pPr>
      <w:r>
        <w:t xml:space="preserve">Savings in cryptocurrency volatile asset risks poverty deepening</w:t>
      </w:r>
    </w:p>
    <w:p>
      <w:pPr>
        <w:numPr>
          <w:ilvl w:val="1"/>
          <w:numId w:val="1051"/>
        </w:numPr>
        <w:pStyle w:val="Compact"/>
      </w:pPr>
      <w:r>
        <w:t xml:space="preserve">Contradicts dignity principle if poor lose savings to price crashes</w:t>
      </w:r>
    </w:p>
    <w:p>
      <w:pPr>
        <w:numPr>
          <w:ilvl w:val="0"/>
          <w:numId w:val="1049"/>
        </w:numPr>
        <w:pStyle w:val="Compact"/>
      </w:pPr>
      <w:r>
        <w:rPr>
          <w:bCs/>
          <w:b/>
        </w:rPr>
        <w:t xml:space="preserve">Actual Adoption Remains Marginal</w:t>
      </w:r>
    </w:p>
    <w:p>
      <w:pPr>
        <w:numPr>
          <w:ilvl w:val="1"/>
          <w:numId w:val="1052"/>
        </w:numPr>
        <w:pStyle w:val="Compact"/>
      </w:pPr>
      <w:r>
        <w:t xml:space="preserve">Despite potential, actual cryptocurrency use for financial inclusion minimal</w:t>
      </w:r>
    </w:p>
    <w:p>
      <w:pPr>
        <w:numPr>
          <w:ilvl w:val="1"/>
          <w:numId w:val="1052"/>
        </w:numPr>
        <w:pStyle w:val="Compact"/>
      </w:pPr>
      <w:r>
        <w:t xml:space="preserve">El Salvador’s adoption of Bitcoin saw limited actual utilization</w:t>
      </w:r>
    </w:p>
    <w:p>
      <w:pPr>
        <w:numPr>
          <w:ilvl w:val="1"/>
          <w:numId w:val="1052"/>
        </w:numPr>
        <w:pStyle w:val="Compact"/>
      </w:pPr>
      <w:r>
        <w:t xml:space="preserve">Residents prefer stablecoins or US dollars for actual transactions</w:t>
      </w:r>
    </w:p>
    <w:bookmarkEnd w:id="119"/>
    <w:bookmarkStart w:id="120" w:name="X1ebd69b5481df7cfef99d1d8fb50a35859f82ff"/>
    <w:p>
      <w:pPr>
        <w:pStyle w:val="Heading4"/>
      </w:pPr>
      <w:r>
        <w:t xml:space="preserve">Stablecoins vs. Volatile Cryptocurrencies</w:t>
      </w:r>
    </w:p>
    <w:p>
      <w:pPr>
        <w:pStyle w:val="FirstParagraph"/>
      </w:pPr>
      <w:r>
        <w:t xml:space="preserve">A critical distinction emerges in the al-karamah analysis: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Volatile Crypto</w:t>
            </w:r>
          </w:p>
        </w:tc>
        <w:tc>
          <w:tcPr/>
          <w:p>
            <w:pPr>
              <w:pStyle w:val="Compact"/>
              <w:jc w:val="left"/>
            </w:pPr>
            <w:r>
              <w:t xml:space="preserve">Stablecoins</w:t>
            </w:r>
          </w:p>
        </w:tc>
      </w:tr>
      <w:tr>
        <w:tc>
          <w:tcPr/>
          <w:p>
            <w:pPr>
              <w:pStyle w:val="Compact"/>
              <w:jc w:val="left"/>
            </w:pPr>
            <w:r>
              <w:t xml:space="preserve">Daily Use for Unbanked</w:t>
            </w:r>
          </w:p>
        </w:tc>
        <w:tc>
          <w:tcPr/>
          <w:p>
            <w:pPr>
              <w:pStyle w:val="Compact"/>
              <w:jc w:val="left"/>
            </w:pPr>
            <w:r>
              <w:t xml:space="preserve">❌ No (volatility)</w:t>
            </w:r>
          </w:p>
        </w:tc>
        <w:tc>
          <w:tcPr/>
          <w:p>
            <w:pPr>
              <w:pStyle w:val="Compact"/>
              <w:jc w:val="left"/>
            </w:pPr>
            <w:r>
              <w:t xml:space="preserve">✅ Possible</w:t>
            </w:r>
          </w:p>
        </w:tc>
      </w:tr>
      <w:tr>
        <w:tc>
          <w:tcPr/>
          <w:p>
            <w:pPr>
              <w:pStyle w:val="Compact"/>
              <w:jc w:val="left"/>
            </w:pPr>
            <w:r>
              <w:t xml:space="preserve">Cross-Border Transfers</w:t>
            </w:r>
          </w:p>
        </w:tc>
        <w:tc>
          <w:tcPr/>
          <w:p>
            <w:pPr>
              <w:pStyle w:val="Compact"/>
              <w:jc w:val="left"/>
            </w:pPr>
            <w:r>
              <w:t xml:space="preserve">⚠️ (cost)</w:t>
            </w:r>
          </w:p>
        </w:tc>
        <w:tc>
          <w:tcPr/>
          <w:p>
            <w:pPr>
              <w:pStyle w:val="Compact"/>
              <w:jc w:val="left"/>
            </w:pPr>
            <w:r>
              <w:t xml:space="preserve">✅ Yes</w:t>
            </w:r>
          </w:p>
        </w:tc>
      </w:tr>
      <w:tr>
        <w:tc>
          <w:tcPr/>
          <w:p>
            <w:pPr>
              <w:pStyle w:val="Compact"/>
              <w:jc w:val="left"/>
            </w:pPr>
            <w:r>
              <w:t xml:space="preserve">Savings Preservation</w:t>
            </w:r>
          </w:p>
        </w:tc>
        <w:tc>
          <w:tcPr/>
          <w:p>
            <w:pPr>
              <w:pStyle w:val="Compact"/>
              <w:jc w:val="left"/>
            </w:pPr>
            <w:r>
              <w:t xml:space="preserve">❌ No (loss risk)</w:t>
            </w:r>
          </w:p>
        </w:tc>
        <w:tc>
          <w:tcPr/>
          <w:p>
            <w:pPr>
              <w:pStyle w:val="Compact"/>
              <w:jc w:val="left"/>
            </w:pPr>
            <w:r>
              <w:t xml:space="preserve">✅ Yes</w:t>
            </w:r>
          </w:p>
        </w:tc>
      </w:tr>
      <w:tr>
        <w:tc>
          <w:tcPr/>
          <w:p>
            <w:pPr>
              <w:pStyle w:val="Compact"/>
              <w:jc w:val="left"/>
            </w:pPr>
            <w:r>
              <w:t xml:space="preserve">Financial Dignity</w:t>
            </w:r>
          </w:p>
        </w:tc>
        <w:tc>
          <w:tcPr/>
          <w:p>
            <w:pPr>
              <w:pStyle w:val="Compact"/>
              <w:jc w:val="left"/>
            </w:pPr>
            <w:r>
              <w:t xml:space="preserve">❌ Medium</w:t>
            </w:r>
          </w:p>
        </w:tc>
        <w:tc>
          <w:tcPr/>
          <w:p>
            <w:pPr>
              <w:pStyle w:val="Compact"/>
              <w:jc w:val="left"/>
            </w:pPr>
            <w:r>
              <w:t xml:space="preserve">✅ High</w:t>
            </w:r>
          </w:p>
        </w:tc>
      </w:tr>
      <w:tr>
        <w:tc>
          <w:tcPr/>
          <w:p>
            <w:pPr>
              <w:pStyle w:val="Compact"/>
              <w:jc w:val="left"/>
            </w:pPr>
            <w:r>
              <w:t xml:space="preserve">Al-Karamah Score</w:t>
            </w:r>
          </w:p>
        </w:tc>
        <w:tc>
          <w:tcPr/>
          <w:p>
            <w:pPr>
              <w:pStyle w:val="Compact"/>
              <w:jc w:val="left"/>
            </w:pPr>
            <w:r>
              <w:t xml:space="preserve">3/5</w:t>
            </w:r>
          </w:p>
        </w:tc>
        <w:tc>
          <w:tcPr/>
          <w:p>
            <w:pPr>
              <w:pStyle w:val="Compact"/>
              <w:jc w:val="left"/>
            </w:pPr>
            <w:r>
              <w:t xml:space="preserve">4/5</w:t>
            </w:r>
          </w:p>
        </w:tc>
      </w:tr>
    </w:tbl>
    <w:bookmarkEnd w:id="120"/>
    <w:bookmarkEnd w:id="121"/>
    <w:bookmarkStart w:id="122" w:name="assessment-score-45"/>
    <w:p>
      <w:pPr>
        <w:pStyle w:val="Heading3"/>
      </w:pPr>
      <w:r>
        <w:t xml:space="preserve">2.5.4 Assessment Score: 4/5</w:t>
      </w:r>
    </w:p>
    <w:p>
      <w:pPr>
        <w:pStyle w:val="FirstParagraph"/>
      </w:pPr>
      <w:r>
        <w:rPr>
          <w:bCs/>
          <w:b/>
        </w:rPr>
        <w:t xml:space="preserve">Rationale:</w:t>
      </w:r>
      <w:r>
        <w:t xml:space="preserve"> </w:t>
      </w:r>
      <w:r>
        <w:t xml:space="preserve">Cryptocurrency demonstrates significant potential for economic dignity and financial inclusion, particularly for unbanked populations in developing economies. However, price volatility substantially limits practical benefits for vulnerable populations. Despite limitations, the inclusion potential represents cryptocurrency’s strongest alignment with Islamic principles.</w:t>
      </w:r>
    </w:p>
    <w:p>
      <w:pPr>
        <w:pStyle w:val="BodyText"/>
      </w:pPr>
      <w:r>
        <w:rPr>
          <w:bCs/>
          <w:b/>
        </w:rPr>
        <w:t xml:space="preserve">Verdict:</w:t>
      </w:r>
      <w:r>
        <w:t xml:space="preserve"> </w:t>
      </w:r>
      <w:r>
        <w:t xml:space="preserve">✅</w:t>
      </w:r>
      <w:r>
        <w:t xml:space="preserve"> </w:t>
      </w:r>
      <w:r>
        <w:rPr>
          <w:bCs/>
          <w:b/>
        </w:rPr>
        <w:t xml:space="preserve">Partially Meets Al-Karamah Requirements</w:t>
      </w:r>
    </w:p>
    <w:p>
      <w:r>
        <w:pict>
          <v:rect style="width:0;height:1.5pt" o:hralign="center" o:hrstd="t" o:hr="t"/>
        </w:pict>
      </w:r>
    </w:p>
    <w:bookmarkEnd w:id="122"/>
    <w:bookmarkEnd w:id="123"/>
    <w:bookmarkStart w:id="129" w:name="X72f8a55b8d291526aa0461f632d8f6eb39a703a"/>
    <w:p>
      <w:pPr>
        <w:pStyle w:val="Heading2"/>
      </w:pPr>
      <w:r>
        <w:t xml:space="preserve">2.6 Comprehensive Maqasid Assessment: Synthesis and Conclusions</w:t>
      </w:r>
    </w:p>
    <w:bookmarkStart w:id="124" w:name="summary-evaluation"/>
    <w:p>
      <w:pPr>
        <w:pStyle w:val="Heading3"/>
      </w:pPr>
      <w:r>
        <w:t xml:space="preserve">2.6.1 Summary Evaluation</w:t>
      </w:r>
    </w:p>
    <w:p>
      <w:pPr>
        <w:pStyle w:val="FirstParagraph"/>
      </w:pPr>
      <w:r>
        <w:t xml:space="preserve">The systematic evaluation of cryptocurrency against the five maqasid principles reveals mixed but predominantly negative assessment:</w:t>
      </w:r>
    </w:p>
    <w:p>
      <w:pPr>
        <w:pStyle w:val="SourceCode"/>
      </w:pPr>
      <w:r>
        <w:rPr>
          <w:rStyle w:val="VerbatimChar"/>
        </w:rPr>
        <w:t xml:space="preserve">MAQASID SHARIAH EVALUATION - CRYPTOCURRENCY</w:t>
      </w:r>
      <w:r>
        <w:br/>
      </w:r>
      <w:r>
        <w:rPr>
          <w:rStyle w:val="VerbatimChar"/>
        </w:rPr>
        <w:t xml:space="preserve">═════════════════════════════════════════════════════════════</w:t>
      </w:r>
      <w:r>
        <w:br/>
      </w:r>
      <w:r>
        <w:br/>
      </w:r>
      <w:r>
        <w:rPr>
          <w:rStyle w:val="VerbatimChar"/>
        </w:rPr>
        <w:t xml:space="preserve">Al-Darura (Necessity/Stability)          ████░░░░░░  1/5  ❌ FAIL</w:t>
      </w:r>
      <w:r>
        <w:br/>
      </w:r>
      <w:r>
        <w:rPr>
          <w:rStyle w:val="VerbatimChar"/>
        </w:rPr>
        <w:t xml:space="preserve">Al-Tahaqquq (Certainty/Transparency)     ███░░░░░░░  3/5  ⚠️  PARTIAL</w:t>
      </w:r>
      <w:r>
        <w:br/>
      </w:r>
      <w:r>
        <w:rPr>
          <w:rStyle w:val="VerbatimChar"/>
        </w:rPr>
        <w:t xml:space="preserve">Al-Maslaha (Public Interest)             ██░░░░░░░░  2/5  ❌ FAIL</w:t>
      </w:r>
      <w:r>
        <w:br/>
      </w:r>
      <w:r>
        <w:rPr>
          <w:rStyle w:val="VerbatimChar"/>
        </w:rPr>
        <w:t xml:space="preserve">Al-Adl (Justice/Fairness)                ██░░░░░░░░  2/5  ❌ FAIL</w:t>
      </w:r>
      <w:r>
        <w:br/>
      </w:r>
      <w:r>
        <w:rPr>
          <w:rStyle w:val="VerbatimChar"/>
        </w:rPr>
        <w:t xml:space="preserve">Al-Karamah (Dignity/Inclusion)           ████░░░░░░  4/5  ✅ PASS</w:t>
      </w:r>
      <w:r>
        <w:br/>
      </w:r>
      <w:r>
        <w:br/>
      </w:r>
      <w:r>
        <w:rPr>
          <w:rStyle w:val="VerbatimChar"/>
        </w:rPr>
        <w:t xml:space="preserve">OVERALL MAQASID ALIGNMENT: 2.4/5 (48%)</w:t>
      </w:r>
      <w:r>
        <w:br/>
      </w:r>
      <w:r>
        <w:rPr>
          <w:rStyle w:val="VerbatimChar"/>
        </w:rPr>
        <w:t xml:space="preserve">STATUS: FAILS MAJORITY OF MAQASID REQUIREMENTS</w:t>
      </w:r>
    </w:p>
    <w:bookmarkEnd w:id="124"/>
    <w:bookmarkStart w:id="125" w:name="critical-deficiencies"/>
    <w:p>
      <w:pPr>
        <w:pStyle w:val="Heading3"/>
      </w:pPr>
      <w:r>
        <w:t xml:space="preserve">2.6.2 Critical Deficiencies</w:t>
      </w:r>
    </w:p>
    <w:p>
      <w:pPr>
        <w:pStyle w:val="FirstParagraph"/>
      </w:pPr>
      <w:r>
        <w:rPr>
          <w:bCs/>
          <w:b/>
        </w:rPr>
        <w:t xml:space="preserve">Structural Failures:</w:t>
      </w:r>
    </w:p>
    <w:p>
      <w:pPr>
        <w:numPr>
          <w:ilvl w:val="0"/>
          <w:numId w:val="1053"/>
        </w:numPr>
        <w:pStyle w:val="Compact"/>
      </w:pPr>
      <w:r>
        <w:rPr>
          <w:bCs/>
          <w:b/>
        </w:rPr>
        <w:t xml:space="preserve">Wealth Preservation Failure</w:t>
      </w:r>
    </w:p>
    <w:p>
      <w:pPr>
        <w:numPr>
          <w:ilvl w:val="1"/>
          <w:numId w:val="1054"/>
        </w:numPr>
        <w:pStyle w:val="Compact"/>
      </w:pPr>
      <w:r>
        <w:t xml:space="preserve">Cryptocurrencies violate the fundamental Islamic principle of protecting and preserving wealth</w:t>
      </w:r>
    </w:p>
    <w:p>
      <w:pPr>
        <w:numPr>
          <w:ilvl w:val="1"/>
          <w:numId w:val="1054"/>
        </w:numPr>
        <w:pStyle w:val="Compact"/>
      </w:pPr>
      <w:r>
        <w:t xml:space="preserve">Extreme volatility and lack of intrinsic value make unsuitability for Islamic finance clear</w:t>
      </w:r>
    </w:p>
    <w:p>
      <w:pPr>
        <w:numPr>
          <w:ilvl w:val="0"/>
          <w:numId w:val="1053"/>
        </w:numPr>
        <w:pStyle w:val="Compact"/>
      </w:pPr>
      <w:r>
        <w:rPr>
          <w:bCs/>
          <w:b/>
        </w:rPr>
        <w:t xml:space="preserve">Public Interest Violation</w:t>
      </w:r>
    </w:p>
    <w:p>
      <w:pPr>
        <w:numPr>
          <w:ilvl w:val="1"/>
          <w:numId w:val="1055"/>
        </w:numPr>
        <w:pStyle w:val="Compact"/>
      </w:pPr>
      <w:r>
        <w:t xml:space="preserve">99% of cryptocurrency activity is speculative, not productive</w:t>
      </w:r>
    </w:p>
    <w:p>
      <w:pPr>
        <w:numPr>
          <w:ilvl w:val="1"/>
          <w:numId w:val="1055"/>
        </w:numPr>
        <w:pStyle w:val="Compact"/>
      </w:pPr>
      <w:r>
        <w:t xml:space="preserve">Negative externalities (environmental damage, facilitating crime) undermine public benefit</w:t>
      </w:r>
    </w:p>
    <w:p>
      <w:pPr>
        <w:numPr>
          <w:ilvl w:val="0"/>
          <w:numId w:val="1053"/>
        </w:numPr>
        <w:pStyle w:val="Compact"/>
      </w:pPr>
      <w:r>
        <w:rPr>
          <w:bCs/>
          <w:b/>
        </w:rPr>
        <w:t xml:space="preserve">Justice Deficit</w:t>
      </w:r>
    </w:p>
    <w:p>
      <w:pPr>
        <w:numPr>
          <w:ilvl w:val="1"/>
          <w:numId w:val="1056"/>
        </w:numPr>
        <w:pStyle w:val="Compact"/>
      </w:pPr>
      <w:r>
        <w:t xml:space="preserve">Extreme wealth concentration among early adopters violates Islamic justice principle</w:t>
      </w:r>
    </w:p>
    <w:p>
      <w:pPr>
        <w:numPr>
          <w:ilvl w:val="1"/>
          <w:numId w:val="1056"/>
        </w:numPr>
        <w:pStyle w:val="Compact"/>
      </w:pPr>
      <w:r>
        <w:t xml:space="preserve">Information asymmetry and market manipulation create systematic unfairness</w:t>
      </w:r>
    </w:p>
    <w:bookmarkEnd w:id="125"/>
    <w:bookmarkStart w:id="126" w:name="mitigating-factors"/>
    <w:p>
      <w:pPr>
        <w:pStyle w:val="Heading3"/>
      </w:pPr>
      <w:r>
        <w:t xml:space="preserve">2.6.3 Mitigating Factors</w:t>
      </w:r>
    </w:p>
    <w:p>
      <w:pPr>
        <w:pStyle w:val="FirstParagraph"/>
      </w:pPr>
      <w:r>
        <w:rPr>
          <w:bCs/>
          <w:b/>
        </w:rPr>
        <w:t xml:space="preserve">Limited Positive Aspects:</w:t>
      </w:r>
    </w:p>
    <w:p>
      <w:pPr>
        <w:numPr>
          <w:ilvl w:val="0"/>
          <w:numId w:val="1057"/>
        </w:numPr>
        <w:pStyle w:val="Compact"/>
      </w:pPr>
      <w:r>
        <w:rPr>
          <w:bCs/>
          <w:b/>
        </w:rPr>
        <w:t xml:space="preserve">Transaction Transparency</w:t>
      </w:r>
    </w:p>
    <w:p>
      <w:pPr>
        <w:numPr>
          <w:ilvl w:val="1"/>
          <w:numId w:val="1058"/>
        </w:numPr>
        <w:pStyle w:val="Compact"/>
      </w:pPr>
      <w:r>
        <w:t xml:space="preserve">Blockchain technology provides verifiable, immutable transaction recording</w:t>
      </w:r>
    </w:p>
    <w:p>
      <w:pPr>
        <w:numPr>
          <w:ilvl w:val="1"/>
          <w:numId w:val="1058"/>
        </w:numPr>
        <w:pStyle w:val="Compact"/>
      </w:pPr>
      <w:r>
        <w:t xml:space="preserve">Addresses transparency component of al-tahaqquq</w:t>
      </w:r>
    </w:p>
    <w:p>
      <w:pPr>
        <w:numPr>
          <w:ilvl w:val="0"/>
          <w:numId w:val="1057"/>
        </w:numPr>
        <w:pStyle w:val="Compact"/>
      </w:pPr>
      <w:r>
        <w:rPr>
          <w:bCs/>
          <w:b/>
        </w:rPr>
        <w:t xml:space="preserve">Financial Inclusion Potential</w:t>
      </w:r>
    </w:p>
    <w:p>
      <w:pPr>
        <w:numPr>
          <w:ilvl w:val="1"/>
          <w:numId w:val="1059"/>
        </w:numPr>
        <w:pStyle w:val="Compact"/>
      </w:pPr>
      <w:r>
        <w:t xml:space="preserve">Enables economic participation for unbanked populations</w:t>
      </w:r>
    </w:p>
    <w:p>
      <w:pPr>
        <w:numPr>
          <w:ilvl w:val="1"/>
          <w:numId w:val="1059"/>
        </w:numPr>
        <w:pStyle w:val="Compact"/>
      </w:pPr>
      <w:r>
        <w:t xml:space="preserve">Strongest alignment with Islamic maqasid principles</w:t>
      </w:r>
    </w:p>
    <w:bookmarkEnd w:id="126"/>
    <w:bookmarkStart w:id="127" w:name="X8b130aa18e00aaef3664cce12979f6cf04f8e61"/>
    <w:p>
      <w:pPr>
        <w:pStyle w:val="Heading3"/>
      </w:pPr>
      <w:r>
        <w:t xml:space="preserve">2.6.4 Asset-Backed Cryptocurrencies: Higher Compliance</w:t>
      </w:r>
    </w:p>
    <w:p>
      <w:pPr>
        <w:pStyle w:val="FirstParagraph"/>
      </w:pPr>
      <w:r>
        <w:t xml:space="preserve">The analysis reveals significant distinction between pure cryptocurrencies and asset-backed alternatives:</w:t>
      </w:r>
    </w:p>
    <w:p>
      <w:pPr>
        <w:pStyle w:val="BodyText"/>
      </w:pPr>
      <w:r>
        <w:rPr>
          <w:bCs/>
          <w:b/>
        </w:rPr>
        <w:t xml:space="preserve">Commodity-Backed Cryptocurrencies:</w:t>
      </w:r>
      <w:r>
        <w:t xml:space="preserve"> </w:t>
      </w:r>
      <w:r>
        <w:t xml:space="preserve">- Improved al-darura compliance (asset backing provides stability)</w:t>
      </w:r>
      <w:r>
        <w:t xml:space="preserve"> </w:t>
      </w:r>
      <w:r>
        <w:t xml:space="preserve">- Enhanced al-tahaqquq compliance (intrinsic value provides certainty)</w:t>
      </w:r>
      <w:r>
        <w:t xml:space="preserve"> </w:t>
      </w:r>
      <w:r>
        <w:t xml:space="preserve">- Potential al-maslaha improvement (backing provides productive purpose)</w:t>
      </w:r>
      <w:r>
        <w:t xml:space="preserve"> </w:t>
      </w:r>
      <w:r>
        <w:t xml:space="preserve">- Score increase: 3.5-4.0/5 (from 2.4/5)</w:t>
      </w:r>
    </w:p>
    <w:p>
      <w:pPr>
        <w:pStyle w:val="BodyText"/>
      </w:pPr>
      <w:r>
        <w:rPr>
          <w:bCs/>
          <w:b/>
        </w:rPr>
        <w:t xml:space="preserve">Stablecoins (Fiat-Backed):</w:t>
      </w:r>
      <w:r>
        <w:t xml:space="preserve"> </w:t>
      </w:r>
      <w:r>
        <w:t xml:space="preserve">- Strong al-darura compliance (maintains stable value)</w:t>
      </w:r>
      <w:r>
        <w:t xml:space="preserve"> </w:t>
      </w:r>
      <w:r>
        <w:t xml:space="preserve">- Strong al-tahaqquq compliance (pegged to stable currency)</w:t>
      </w:r>
      <w:r>
        <w:t xml:space="preserve"> </w:t>
      </w:r>
      <w:r>
        <w:t xml:space="preserve">- Moderate al-maslaha compliance (limited speculative use)</w:t>
      </w:r>
      <w:r>
        <w:t xml:space="preserve"> </w:t>
      </w:r>
      <w:r>
        <w:t xml:space="preserve">- Moderate al-adl improvement (less early adopter advantage)</w:t>
      </w:r>
      <w:r>
        <w:t xml:space="preserve"> </w:t>
      </w:r>
      <w:r>
        <w:t xml:space="preserve">- Score increase: 4.0-4.5/5</w:t>
      </w:r>
    </w:p>
    <w:bookmarkEnd w:id="127"/>
    <w:bookmarkStart w:id="128" w:name="jurisprudential-implications"/>
    <w:p>
      <w:pPr>
        <w:pStyle w:val="Heading3"/>
      </w:pPr>
      <w:r>
        <w:t xml:space="preserve">2.6.5 Jurisprudential Implications</w:t>
      </w:r>
    </w:p>
    <w:p>
      <w:pPr>
        <w:pStyle w:val="FirstParagraph"/>
      </w:pPr>
      <w:r>
        <w:t xml:space="preserve">The maqasid analysis aligns with conclusions from major Islamic financial institutions:</w:t>
      </w:r>
    </w:p>
    <w:p>
      <w:pPr>
        <w:pStyle w:val="BodyText"/>
      </w:pPr>
      <w:r>
        <w:rPr>
          <w:bCs/>
          <w:b/>
        </w:rPr>
        <w:t xml:space="preserve">AAOIFI Position:</w:t>
      </w:r>
      <w:r>
        <w:t xml:space="preserve"> </w:t>
      </w:r>
      <w:r>
        <w:t xml:space="preserve">Pure cryptocurrency lacks sufficient shariah criteria</w:t>
      </w:r>
      <w:r>
        <w:t xml:space="preserve"> </w:t>
      </w:r>
      <w:r>
        <w:rPr>
          <w:bCs/>
          <w:b/>
        </w:rPr>
        <w:t xml:space="preserve">Dar al-Ifta Position:</w:t>
      </w:r>
      <w:r>
        <w:t xml:space="preserve"> </w:t>
      </w:r>
      <w:r>
        <w:t xml:space="preserve">Cryptocurrency haram due to gharar and lack of intrinsic value</w:t>
      </w:r>
      <w:r>
        <w:t xml:space="preserve"> </w:t>
      </w:r>
      <w:r>
        <w:rPr>
          <w:bCs/>
          <w:b/>
        </w:rPr>
        <w:t xml:space="preserve">MUI Position:</w:t>
      </w:r>
      <w:r>
        <w:t xml:space="preserve"> </w:t>
      </w:r>
      <w:r>
        <w:t xml:space="preserve">Cryptocurrency classified as speculative commodity, not recommended</w:t>
      </w:r>
    </w:p>
    <w:p>
      <w:pPr>
        <w:pStyle w:val="BodyText"/>
      </w:pPr>
      <w:r>
        <w:t xml:space="preserve">The maqasid framework provides rigorous Islamic legal justification for these positions.</w:t>
      </w:r>
    </w:p>
    <w:p>
      <w:r>
        <w:pict>
          <v:rect style="width:0;height:1.5pt" o:hralign="center" o:hrstd="t" o:hr="t"/>
        </w:pict>
      </w:r>
    </w:p>
    <w:bookmarkEnd w:id="128"/>
    <w:bookmarkEnd w:id="129"/>
    <w:bookmarkStart w:id="132" w:name="Xb2a6ffa9f7ca742849e1bfc35ce55ccc0a7087a"/>
    <w:p>
      <w:pPr>
        <w:pStyle w:val="Heading2"/>
      </w:pPr>
      <w:r>
        <w:t xml:space="preserve">2.7 Counterarguments: The Case for Conditional Permissibility</w:t>
      </w:r>
    </w:p>
    <w:p>
      <w:pPr>
        <w:pStyle w:val="FirstParagraph"/>
      </w:pPr>
      <w:r>
        <w:t xml:space="preserve">The maqasid assessment above reaches a predominantly negative conclusion for</w:t>
      </w:r>
      <w:r>
        <w:t xml:space="preserve"> </w:t>
      </w:r>
      <w:r>
        <w:rPr>
          <w:iCs/>
          <w:i/>
        </w:rPr>
        <w:t xml:space="preserve">pure</w:t>
      </w:r>
      <w:r>
        <w:t xml:space="preserve"> </w:t>
      </w:r>
      <w:r>
        <w:t xml:space="preserve">cryptocurrency (2.4/5). Intellectual honesty—and the standard of doctoral argumentation—requires that the strongest opposing position be reconstructed in its most compelling form before it is answered. A substantial and growing body of scholarship contends that cryptocurrency, properly understood,</w:t>
      </w:r>
      <w:r>
        <w:t xml:space="preserve"> </w:t>
      </w:r>
      <w:r>
        <w:rPr>
          <w:iCs/>
          <w:i/>
        </w:rPr>
        <w:t xml:space="preserve">advances</w:t>
      </w:r>
      <w:r>
        <w:t xml:space="preserve"> </w:t>
      </w:r>
      <w:r>
        <w:t xml:space="preserve">rather than undermines the objectives of the Shariah. This section presents that permissibility thesis at full strength (§2.7.1) and then explains why the analysis nonetheless holds to a conclusion of</w:t>
      </w:r>
      <w:r>
        <w:t xml:space="preserve"> </w:t>
      </w:r>
      <w:r>
        <w:rPr>
          <w:iCs/>
          <w:i/>
        </w:rPr>
        <w:t xml:space="preserve">conditional</w:t>
      </w:r>
      <w:r>
        <w:t xml:space="preserve"> </w:t>
      </w:r>
      <w:r>
        <w:t xml:space="preserve">rather than general permissibility (§2.7.2).</w:t>
      </w:r>
    </w:p>
    <w:bookmarkStart w:id="130" w:name="the-permissibility-thesis-steelman"/>
    <w:p>
      <w:pPr>
        <w:pStyle w:val="Heading3"/>
      </w:pPr>
      <w:r>
        <w:t xml:space="preserve">2.7.1 The Permissibility Thesis (Steelman)</w:t>
      </w:r>
    </w:p>
    <w:p>
      <w:pPr>
        <w:pStyle w:val="FirstParagraph"/>
      </w:pPr>
      <w:r>
        <w:t xml:space="preserve">The pro-permissibility position rests on four mutually reinforcing arguments, each grounded in recognised principles of</w:t>
      </w:r>
      <w:r>
        <w:t xml:space="preserve"> </w:t>
      </w:r>
      <w:r>
        <w:rPr>
          <w:iCs/>
          <w:i/>
        </w:rPr>
        <w:t xml:space="preserve">fiqh al-muamalat</w:t>
      </w:r>
      <w:r>
        <w:t xml:space="preserve">.</w:t>
      </w:r>
    </w:p>
    <w:p>
      <w:pPr>
        <w:pStyle w:val="BodyText"/>
      </w:pPr>
      <w:r>
        <w:rPr>
          <w:bCs/>
          <w:b/>
        </w:rPr>
        <w:t xml:space="preserve">First, the presumption of permissibility and the burden of proof.</w:t>
      </w:r>
      <w:r>
        <w:t xml:space="preserve"> </w:t>
      </w:r>
      <w:r>
        <w:t xml:space="preserve">The governing maxim of Islamic commercial law is</w:t>
      </w:r>
      <w:r>
        <w:t xml:space="preserve"> </w:t>
      </w:r>
      <w:r>
        <w:rPr>
          <w:iCs/>
          <w:i/>
        </w:rPr>
        <w:t xml:space="preserve">al-asl fi al-muamalat al-ibaha</w:t>
      </w:r>
      <w:r>
        <w:t xml:space="preserve">—the default ruling in transactions is permissibility unless a specific, authenticated prohibition applies (Kamali,</w:t>
      </w:r>
      <w:r>
        <w:t xml:space="preserve"> </w:t>
      </w:r>
      <w:r>
        <w:rPr>
          <w:iCs/>
          <w:i/>
        </w:rPr>
        <w:t xml:space="preserve">Principles of Islamic Jurisprudence</w:t>
      </w:r>
      <w:r>
        <w:t xml:space="preserve">, 2003; Ibn Qayyim al-Jawziyya,</w:t>
      </w:r>
      <w:r>
        <w:t xml:space="preserve"> </w:t>
      </w:r>
      <w:r>
        <w:rPr>
          <w:iCs/>
          <w:i/>
        </w:rPr>
        <w:t xml:space="preserve">I’lam al-Muwaqqi’in</w:t>
      </w:r>
      <w:r>
        <w:t xml:space="preserve">). This is the mirror image of the rule for acts of worship, where the default is prohibition. On this view the evidentiary burden falls on the party asserting prohibition: to forbid a novel but potentially beneficial instrument requires a definitive textual basis (</w:t>
      </w:r>
      <w:r>
        <w:rPr>
          <w:iCs/>
          <w:i/>
        </w:rPr>
        <w:t xml:space="preserve">nass qat’i</w:t>
      </w:r>
      <w:r>
        <w:t xml:space="preserve">) or a firmly established harm, not merely the presence of risk. Proponents such as Mufti Faraz Adam (</w:t>
      </w:r>
      <w:r>
        <w:t xml:space="preserve">“</w:t>
      </w:r>
      <w:r>
        <w:t xml:space="preserve">Bitcoin: Shariah Compliant?</w:t>
      </w:r>
      <w:r>
        <w:t xml:space="preserve">”</w:t>
      </w:r>
      <w:r>
        <w:t xml:space="preserve">, Amanah Finance Consultancy, 2017) and Charles W. Evans (</w:t>
      </w:r>
      <w:r>
        <w:t xml:space="preserve">“</w:t>
      </w:r>
      <w:r>
        <w:t xml:space="preserve">Bitcoin in Islamic Banking and Finance,</w:t>
      </w:r>
      <w:r>
        <w:t xml:space="preserve">”</w:t>
      </w:r>
      <w:r>
        <w:t xml:space="preserve"> </w:t>
      </w:r>
      <w:r>
        <w:rPr>
          <w:iCs/>
          <w:i/>
        </w:rPr>
        <w:t xml:space="preserve">Journal of Islamic Banking and Finance</w:t>
      </w:r>
      <w:r>
        <w:t xml:space="preserve">, 2015) argue that no such definitive prohibition of the</w:t>
      </w:r>
      <w:r>
        <w:t xml:space="preserve"> </w:t>
      </w:r>
      <w:r>
        <w:rPr>
          <w:iCs/>
          <w:i/>
        </w:rPr>
        <w:t xml:space="preserve">asset class as such</w:t>
      </w:r>
      <w:r>
        <w:t xml:space="preserve"> </w:t>
      </w:r>
      <w:r>
        <w:t xml:space="preserve">exists.</w:t>
      </w:r>
    </w:p>
    <w:p>
      <w:pPr>
        <w:pStyle w:val="BodyText"/>
      </w:pPr>
      <w:r>
        <w:rPr>
          <w:bCs/>
          <w:b/>
        </w:rPr>
        <w:t xml:space="preserve">Second, cryptocurrency as</w:t>
      </w:r>
      <w:r>
        <w:rPr>
          <w:bCs/>
          <w:b/>
        </w:rPr>
        <w:t xml:space="preserve"> </w:t>
      </w:r>
      <w:r>
        <w:rPr>
          <w:iCs/>
          <w:i/>
          <w:bCs/>
          <w:b/>
        </w:rPr>
        <w:t xml:space="preserve">mal</w:t>
      </w:r>
      <w:r>
        <w:rPr>
          <w:bCs/>
          <w:b/>
        </w:rPr>
        <w:t xml:space="preserve"> </w:t>
      </w:r>
      <w:r>
        <w:rPr>
          <w:bCs/>
          <w:b/>
        </w:rPr>
        <w:t xml:space="preserve">by customary recognition.</w:t>
      </w:r>
      <w:r>
        <w:t xml:space="preserve"> </w:t>
      </w:r>
      <w:r>
        <w:t xml:space="preserve">The prohibitionist objection that cryptocurrency</w:t>
      </w:r>
      <w:r>
        <w:t xml:space="preserve"> </w:t>
      </w:r>
      <w:r>
        <w:t xml:space="preserve">“</w:t>
      </w:r>
      <w:r>
        <w:t xml:space="preserve">lacks intrinsic value</w:t>
      </w:r>
      <w:r>
        <w:t xml:space="preserve">”</w:t>
      </w:r>
      <w:r>
        <w:t xml:space="preserve"> </w:t>
      </w:r>
      <w:r>
        <w:t xml:space="preserve">assumes that</w:t>
      </w:r>
      <w:r>
        <w:t xml:space="preserve"> </w:t>
      </w:r>
      <w:r>
        <w:rPr>
          <w:iCs/>
          <w:i/>
        </w:rPr>
        <w:t xml:space="preserve">mal</w:t>
      </w:r>
      <w:r>
        <w:t xml:space="preserve"> </w:t>
      </w:r>
      <w:r>
        <w:t xml:space="preserve">(property) requires intrinsic substance. Classical Hanafi jurisprudence defines</w:t>
      </w:r>
      <w:r>
        <w:t xml:space="preserve"> </w:t>
      </w:r>
      <w:r>
        <w:rPr>
          <w:iCs/>
          <w:i/>
        </w:rPr>
        <w:t xml:space="preserve">mal</w:t>
      </w:r>
      <w:r>
        <w:t xml:space="preserve"> </w:t>
      </w:r>
      <w:r>
        <w:t xml:space="preserve">functionally—as that toward which human nature inclines and which can be stored for time of need (Al-Kasani,</w:t>
      </w:r>
      <w:r>
        <w:t xml:space="preserve"> </w:t>
      </w:r>
      <w:r>
        <w:rPr>
          <w:iCs/>
          <w:i/>
        </w:rPr>
        <w:t xml:space="preserve">Bada’i al-Sana’i</w:t>
      </w:r>
      <w:r>
        <w:t xml:space="preserve">; Ibn ’Abidin,</w:t>
      </w:r>
      <w:r>
        <w:t xml:space="preserve"> </w:t>
      </w:r>
      <w:r>
        <w:rPr>
          <w:iCs/>
          <w:i/>
        </w:rPr>
        <w:t xml:space="preserve">Radd al-Muhtar</w:t>
      </w:r>
      <w:r>
        <w:t xml:space="preserve">)—and the Maliki tradition admits</w:t>
      </w:r>
      <w:r>
        <w:t xml:space="preserve"> </w:t>
      </w:r>
      <w:r>
        <w:rPr>
          <w:iCs/>
          <w:i/>
        </w:rPr>
        <w:t xml:space="preserve">’urf</w:t>
      </w:r>
      <w:r>
        <w:t xml:space="preserve"> </w:t>
      </w:r>
      <w:r>
        <w:t xml:space="preserve">(settled custom) as a validating source for new exchange instruments (Ibn Rushd,</w:t>
      </w:r>
      <w:r>
        <w:t xml:space="preserve"> </w:t>
      </w:r>
      <w:r>
        <w:rPr>
          <w:iCs/>
          <w:i/>
        </w:rPr>
        <w:t xml:space="preserve">Bidayat al-Mujtahid</w:t>
      </w:r>
      <w:r>
        <w:t xml:space="preserve">). On this basis, an asset that a community widely accepts as a medium of exchange acquires the status of</w:t>
      </w:r>
      <w:r>
        <w:t xml:space="preserve"> </w:t>
      </w:r>
      <w:r>
        <w:rPr>
          <w:iCs/>
          <w:i/>
        </w:rPr>
        <w:t xml:space="preserve">mal</w:t>
      </w:r>
      <w:r>
        <w:t xml:space="preserve"> </w:t>
      </w:r>
      <w:r>
        <w:t xml:space="preserve">through recognition, exactly as fiat currency and pre-modern</w:t>
      </w:r>
      <w:r>
        <w:t xml:space="preserve"> </w:t>
      </w:r>
      <w:r>
        <w:rPr>
          <w:iCs/>
          <w:i/>
        </w:rPr>
        <w:t xml:space="preserve">fulus</w:t>
      </w:r>
      <w:r>
        <w:t xml:space="preserve"> </w:t>
      </w:r>
      <w:r>
        <w:t xml:space="preserve">(copper token money) did despite lacking intrinsic worth. Widespread acceptance, proponents argue, supplies precisely the</w:t>
      </w:r>
      <w:r>
        <w:t xml:space="preserve"> </w:t>
      </w:r>
      <w:r>
        <w:t xml:space="preserve">“</w:t>
      </w:r>
      <w:r>
        <w:t xml:space="preserve">social consensus</w:t>
      </w:r>
      <w:r>
        <w:t xml:space="preserve">”</w:t>
      </w:r>
      <w:r>
        <w:t xml:space="preserve"> </w:t>
      </w:r>
      <w:r>
        <w:t xml:space="preserve">that classical jurists treated as sufficient.</w:t>
      </w:r>
    </w:p>
    <w:p>
      <w:pPr>
        <w:pStyle w:val="BodyText"/>
      </w:pPr>
      <w:r>
        <w:rPr>
          <w:bCs/>
          <w:b/>
        </w:rPr>
        <w:t xml:space="preserve">Third, service to the higher objectives—Al-Karamah and Al-Maslaha.</w:t>
      </w:r>
      <w:r>
        <w:t xml:space="preserve"> </w:t>
      </w:r>
      <w:r>
        <w:t xml:space="preserve">The analysis in §2.5 already scores cryptocurrency 4/5 on Al-Karamah for its financial-inclusion potential. Proponents extend this: for unbanked Muslim populations, low-cost cross-border remittance and permissionless access to store-of-value instruments serve the preservation of wealth (</w:t>
      </w:r>
      <w:r>
        <w:rPr>
          <w:iCs/>
          <w:i/>
        </w:rPr>
        <w:t xml:space="preserve">hifz al-mal</w:t>
      </w:r>
      <w:r>
        <w:t xml:space="preserve">) and human dignity more effectively than an exclusionary formal sector (Habib Ahmed,</w:t>
      </w:r>
      <w:r>
        <w:t xml:space="preserve"> </w:t>
      </w:r>
      <w:r>
        <w:rPr>
          <w:iCs/>
          <w:i/>
        </w:rPr>
        <w:t xml:space="preserve">Maqasid al-Shari’ah and Islamic Financial Products</w:t>
      </w:r>
      <w:r>
        <w:t xml:space="preserve">, 2011). Jasser Auda’s systems-based reading of the maqasid (</w:t>
      </w:r>
      <w:r>
        <w:rPr>
          <w:iCs/>
          <w:i/>
        </w:rPr>
        <w:t xml:space="preserve">Maqasid al-Shari’ah as Philosophy of Islamic Law</w:t>
      </w:r>
      <w:r>
        <w:t xml:space="preserve">, 2008) supports weighing such realised benefits rather than presuming harm from novelty.</w:t>
      </w:r>
    </w:p>
    <w:p>
      <w:pPr>
        <w:pStyle w:val="BodyText"/>
      </w:pPr>
      <w:r>
        <w:rPr>
          <w:bCs/>
          <w:b/>
        </w:rPr>
        <w:t xml:space="preserve">Fourth, the decisive concession—structured instruments.</w:t>
      </w:r>
      <w:r>
        <w:t xml:space="preserve"> </w:t>
      </w:r>
      <w:r>
        <w:t xml:space="preserve">As §2.6.4 demonstrates, asset-backed tokens and fiat-collateralised stablecoins score 3.5–4.5/5. Proponents argue this establishes the principle: the maqasid deficiencies the analysis identifies are contingent features of</w:t>
      </w:r>
      <w:r>
        <w:t xml:space="preserve"> </w:t>
      </w:r>
      <w:r>
        <w:rPr>
          <w:iCs/>
          <w:i/>
        </w:rPr>
        <w:t xml:space="preserve">particular designs</w:t>
      </w:r>
      <w:r>
        <w:t xml:space="preserve">, not necessary properties of the technology. If some digital assets satisfy the objectives, then a categorical prohibition of</w:t>
      </w:r>
      <w:r>
        <w:t xml:space="preserve"> </w:t>
      </w:r>
      <w:r>
        <w:t xml:space="preserve">“</w:t>
      </w:r>
      <w:r>
        <w:t xml:space="preserve">cryptocurrency</w:t>
      </w:r>
      <w:r>
        <w:t xml:space="preserve">”</w:t>
      </w:r>
      <w:r>
        <w:t xml:space="preserve"> </w:t>
      </w:r>
      <w:r>
        <w:t xml:space="preserve">is over-broad, and the correct juristic task is discrimination among designs rather than blanket exclusion (Mohd Daud Bakar, public rulings on digital assets, 2019–2022).</w:t>
      </w:r>
    </w:p>
    <w:bookmarkEnd w:id="130"/>
    <w:bookmarkStart w:id="131" w:name="X7eb1804a1e94a542fb2c1287bda73ad72ad3f53"/>
    <w:p>
      <w:pPr>
        <w:pStyle w:val="Heading3"/>
      </w:pPr>
      <w:r>
        <w:t xml:space="preserve">2.7.2 Response: Why the Conclusion Is Conditional, Not Categorical</w:t>
      </w:r>
    </w:p>
    <w:p>
      <w:pPr>
        <w:pStyle w:val="FirstParagraph"/>
      </w:pPr>
      <w:r>
        <w:t xml:space="preserve">The permissibility thesis is powerful, and this dissertation accepts a substantial part of it. It is answered not by rejection but by</w:t>
      </w:r>
      <w:r>
        <w:t xml:space="preserve"> </w:t>
      </w:r>
      <w:r>
        <w:rPr>
          <w:iCs/>
          <w:i/>
        </w:rPr>
        <w:t xml:space="preserve">boundary-setting</w:t>
      </w:r>
      <w:r>
        <w:t xml:space="preserve">.</w:t>
      </w:r>
    </w:p>
    <w:p>
      <w:pPr>
        <w:pStyle w:val="BodyText"/>
      </w:pPr>
      <w:r>
        <w:rPr>
          <w:bCs/>
          <w:b/>
        </w:rPr>
        <w:t xml:space="preserve">On the burden of proof.</w:t>
      </w:r>
      <w:r>
        <w:t xml:space="preserve"> </w:t>
      </w:r>
      <w:r>
        <w:t xml:space="preserve">The presumption of permissibility is rebuttable, and it is rebutted where a preponderant (</w:t>
      </w:r>
      <w:r>
        <w:rPr>
          <w:iCs/>
          <w:i/>
        </w:rPr>
        <w:t xml:space="preserve">ghalib al-zann</w:t>
      </w:r>
      <w:r>
        <w:t xml:space="preserve">), not merely possible, harm is established. The empirical predominance of speculative over transactional use (documented in §2.3 and Chapter 4) converts the abstract</w:t>
      </w:r>
      <w:r>
        <w:t xml:space="preserve"> </w:t>
      </w:r>
      <w:r>
        <w:rPr>
          <w:iCs/>
          <w:i/>
        </w:rPr>
        <w:t xml:space="preserve">possibility</w:t>
      </w:r>
      <w:r>
        <w:t xml:space="preserve"> </w:t>
      </w:r>
      <w:r>
        <w:t xml:space="preserve">of</w:t>
      </w:r>
      <w:r>
        <w:t xml:space="preserve"> </w:t>
      </w:r>
      <w:r>
        <w:rPr>
          <w:iCs/>
          <w:i/>
        </w:rPr>
        <w:t xml:space="preserve">maisir</w:t>
      </w:r>
      <w:r>
        <w:t xml:space="preserve"> </w:t>
      </w:r>
      <w:r>
        <w:t xml:space="preserve">into its realised</w:t>
      </w:r>
      <w:r>
        <w:t xml:space="preserve"> </w:t>
      </w:r>
      <w:r>
        <w:rPr>
          <w:iCs/>
          <w:i/>
        </w:rPr>
        <w:t xml:space="preserve">predominance</w:t>
      </w:r>
      <w:r>
        <w:t xml:space="preserve">. Where the operative characteristic of an instrument’s actual use is gambling-like speculation under severe</w:t>
      </w:r>
      <w:r>
        <w:t xml:space="preserve"> </w:t>
      </w:r>
      <w:r>
        <w:rPr>
          <w:iCs/>
          <w:i/>
        </w:rPr>
        <w:t xml:space="preserve">gharar</w:t>
      </w:r>
      <w:r>
        <w:t xml:space="preserve">, the doctrine of</w:t>
      </w:r>
      <w:r>
        <w:t xml:space="preserve"> </w:t>
      </w:r>
      <w:r>
        <w:rPr>
          <w:iCs/>
          <w:i/>
        </w:rPr>
        <w:t xml:space="preserve">sadd al-dhara’i</w:t>
      </w:r>
      <w:r>
        <w:t xml:space="preserve"> </w:t>
      </w:r>
      <w:r>
        <w:t xml:space="preserve">(blocking the means to harm) supplies the</w:t>
      </w:r>
      <w:r>
        <w:t xml:space="preserve"> </w:t>
      </w:r>
      <w:r>
        <w:t xml:space="preserve">“</w:t>
      </w:r>
      <w:r>
        <w:t xml:space="preserve">specific harm</w:t>
      </w:r>
      <w:r>
        <w:t xml:space="preserve">”</w:t>
      </w:r>
      <w:r>
        <w:t xml:space="preserve"> </w:t>
      </w:r>
      <w:r>
        <w:t xml:space="preserve">the maxim demands. The burden is therefore met—but only for the speculative use, not for the technology as such.</w:t>
      </w:r>
    </w:p>
    <w:p>
      <w:pPr>
        <w:pStyle w:val="BodyText"/>
      </w:pPr>
      <w:r>
        <w:rPr>
          <w:bCs/>
          <w:b/>
        </w:rPr>
        <w:t xml:space="preserve">On</w:t>
      </w:r>
      <w:r>
        <w:rPr>
          <w:bCs/>
          <w:b/>
        </w:rPr>
        <w:t xml:space="preserve"> </w:t>
      </w:r>
      <w:r>
        <w:rPr>
          <w:iCs/>
          <w:i/>
          <w:bCs/>
          <w:b/>
        </w:rPr>
        <w:t xml:space="preserve">mal</w:t>
      </w:r>
      <w:r>
        <w:rPr>
          <w:bCs/>
          <w:b/>
        </w:rPr>
        <w:t xml:space="preserve"> </w:t>
      </w:r>
      <w:r>
        <w:rPr>
          <w:bCs/>
          <w:b/>
        </w:rPr>
        <w:t xml:space="preserve">by custom.</w:t>
      </w:r>
      <w:r>
        <w:t xml:space="preserve"> </w:t>
      </w:r>
      <w:r>
        <w:t xml:space="preserve">Recognition confers</w:t>
      </w:r>
      <w:r>
        <w:t xml:space="preserve"> </w:t>
      </w:r>
      <w:r>
        <w:rPr>
          <w:iCs/>
          <w:i/>
        </w:rPr>
        <w:t xml:space="preserve">mal</w:t>
      </w:r>
      <w:r>
        <w:t xml:space="preserve">-status only through a</w:t>
      </w:r>
      <w:r>
        <w:t xml:space="preserve"> </w:t>
      </w:r>
      <w:r>
        <w:rPr>
          <w:iCs/>
          <w:i/>
        </w:rPr>
        <w:t xml:space="preserve">sound</w:t>
      </w:r>
      <w:r>
        <w:t xml:space="preserve"> </w:t>
      </w:r>
      <w:r>
        <w:t xml:space="preserve">custom (</w:t>
      </w:r>
      <w:r>
        <w:rPr>
          <w:iCs/>
          <w:i/>
        </w:rPr>
        <w:t xml:space="preserve">’urf sahih</w:t>
      </w:r>
      <w:r>
        <w:t xml:space="preserve">)—one not built upon a prohibited foundation. A convention of acceptance that exists primarily to facilitate leveraged price speculation is not a sound</w:t>
      </w:r>
      <w:r>
        <w:t xml:space="preserve"> </w:t>
      </w:r>
      <w:r>
        <w:rPr>
          <w:iCs/>
          <w:i/>
        </w:rPr>
        <w:t xml:space="preserve">’urf</w:t>
      </w:r>
      <w:r>
        <w:t xml:space="preserve"> </w:t>
      </w:r>
      <w:r>
        <w:t xml:space="preserve">in the classical sense, even if it is widespread. The argument from custom thus validates cryptocurrencies whose acceptance rests on genuine exchange and settlement utility, while leaving untouched those whose</w:t>
      </w:r>
      <w:r>
        <w:t xml:space="preserve"> </w:t>
      </w:r>
      <w:r>
        <w:t xml:space="preserve">“</w:t>
      </w:r>
      <w:r>
        <w:t xml:space="preserve">acceptance</w:t>
      </w:r>
      <w:r>
        <w:t xml:space="preserve">”</w:t>
      </w:r>
      <w:r>
        <w:t xml:space="preserve"> </w:t>
      </w:r>
      <w:r>
        <w:t xml:space="preserve">is functionally a speculative venue.</w:t>
      </w:r>
    </w:p>
    <w:p>
      <w:pPr>
        <w:pStyle w:val="BodyText"/>
      </w:pPr>
      <w:r>
        <w:rPr>
          <w:bCs/>
          <w:b/>
        </w:rPr>
        <w:t xml:space="preserve">On the maqasid.</w:t>
      </w:r>
      <w:r>
        <w:t xml:space="preserve"> </w:t>
      </w:r>
      <w:r>
        <w:t xml:space="preserve">The Al-Karamah benefit is real and is scored accordingly; but a single strongly-satisfied objective does not override failures on Al-Darura, Al-Maslaha, and Al-Adl when the maqasid are weighed as an integrated system rather than tallied. Auda’s own methodology cautions against optimising one objective at the expense of the whole. Financial inclusion delivered through an instrument that transfers volatility risk onto the very populations it purports to serve is a defective realisation of dignity.</w:t>
      </w:r>
    </w:p>
    <w:p>
      <w:pPr>
        <w:pStyle w:val="BodyText"/>
      </w:pPr>
      <w:r>
        <w:rPr>
          <w:bCs/>
          <w:b/>
        </w:rPr>
        <w:t xml:space="preserve">The point of agreement.</w:t>
      </w:r>
      <w:r>
        <w:t xml:space="preserve"> </w:t>
      </w:r>
      <w:r>
        <w:t xml:space="preserve">Critically, the permissibility thesis and this analysis converge on the operative outcome. The thesis succeeds precisely where the analysis already concedes—asset-backed and stablecoin designs (§2.6.4)—and fails precisely where the analysis finds against pure speculative tokens. The disagreement is therefore not over</w:t>
      </w:r>
      <w:r>
        <w:t xml:space="preserve"> </w:t>
      </w:r>
      <w:r>
        <w:rPr>
          <w:iCs/>
          <w:i/>
        </w:rPr>
        <w:t xml:space="preserve">whether</w:t>
      </w:r>
      <w:r>
        <w:t xml:space="preserve"> </w:t>
      </w:r>
      <w:r>
        <w:t xml:space="preserve">the maqasid can be satisfied by digital assets, but over</w:t>
      </w:r>
      <w:r>
        <w:t xml:space="preserve"> </w:t>
      </w:r>
      <w:r>
        <w:rPr>
          <w:iCs/>
          <w:i/>
        </w:rPr>
        <w:t xml:space="preserve">which</w:t>
      </w:r>
      <w:r>
        <w:t xml:space="preserve"> </w:t>
      </w:r>
      <w:r>
        <w:t xml:space="preserve">designs satisfy them. This is a divergence of</w:t>
      </w:r>
      <w:r>
        <w:t xml:space="preserve"> </w:t>
      </w:r>
      <w:r>
        <w:rPr>
          <w:iCs/>
          <w:i/>
        </w:rPr>
        <w:t xml:space="preserve">tahqiq al-manat</w:t>
      </w:r>
      <w:r>
        <w:t xml:space="preserve"> </w:t>
      </w:r>
      <w:r>
        <w:t xml:space="preserve">(verifying the operative cause in the concrete case), not of principle. The resulting position—</w:t>
      </w:r>
      <w:r>
        <w:rPr>
          <w:bCs/>
          <w:b/>
        </w:rPr>
        <w:t xml:space="preserve">conditional permissibility contingent on verified design characteristics</w:t>
      </w:r>
      <w:r>
        <w:t xml:space="preserve">—is the thesis this dissertation defends, and it is precisely what the five-dimensional framework of Chapter 5 operationalises.</w:t>
      </w:r>
    </w:p>
    <w:p>
      <w:r>
        <w:pict>
          <v:rect style="width:0;height:1.5pt" o:hralign="center" o:hrstd="t" o:hr="t"/>
        </w:pict>
      </w:r>
    </w:p>
    <w:bookmarkEnd w:id="131"/>
    <w:bookmarkEnd w:id="132"/>
    <w:bookmarkStart w:id="135" w:name="chapter-conclusion"/>
    <w:p>
      <w:pPr>
        <w:pStyle w:val="Heading2"/>
      </w:pPr>
      <w:r>
        <w:t xml:space="preserve">2.8 Chapter Conclusion</w:t>
      </w:r>
    </w:p>
    <w:bookmarkStart w:id="133" w:name="summary-of-findings"/>
    <w:p>
      <w:pPr>
        <w:pStyle w:val="Heading3"/>
      </w:pPr>
      <w:r>
        <w:t xml:space="preserve">Summary of Findings</w:t>
      </w:r>
    </w:p>
    <w:p>
      <w:pPr>
        <w:pStyle w:val="FirstParagraph"/>
      </w:pPr>
      <w:r>
        <w:t xml:space="preserve">The systematic application of Maqasid Shariah principles to cryptocurrency analysis reveals that</w:t>
      </w:r>
      <w:r>
        <w:t xml:space="preserve"> </w:t>
      </w:r>
      <w:r>
        <w:rPr>
          <w:bCs/>
          <w:b/>
        </w:rPr>
        <w:t xml:space="preserve">pure cryptocurrencies fail to meet Islamic financial requirements</w:t>
      </w:r>
      <w:r>
        <w:t xml:space="preserve"> </w:t>
      </w:r>
      <w:r>
        <w:t xml:space="preserve">under most major Islamic legal objectives.</w:t>
      </w:r>
    </w:p>
    <w:p>
      <w:pPr>
        <w:pStyle w:val="BodyText"/>
      </w:pPr>
      <w:r>
        <w:rPr>
          <w:bCs/>
          <w:b/>
        </w:rPr>
        <w:t xml:space="preserve">Key Conclusions:</w:t>
      </w:r>
    </w:p>
    <w:p>
      <w:pPr>
        <w:numPr>
          <w:ilvl w:val="0"/>
          <w:numId w:val="1060"/>
        </w:numPr>
        <w:pStyle w:val="Compact"/>
      </w:pPr>
      <w:r>
        <w:rPr>
          <w:bCs/>
          <w:b/>
        </w:rPr>
        <w:t xml:space="preserve">Fundamental Incompatibility with Wealth Preservation</w:t>
      </w:r>
    </w:p>
    <w:p>
      <w:pPr>
        <w:numPr>
          <w:ilvl w:val="1"/>
          <w:numId w:val="1061"/>
        </w:numPr>
        <w:pStyle w:val="Compact"/>
      </w:pPr>
      <w:r>
        <w:t xml:space="preserve">Cryptocurrency’s extreme volatility violates al-darura principle</w:t>
      </w:r>
    </w:p>
    <w:p>
      <w:pPr>
        <w:numPr>
          <w:ilvl w:val="1"/>
          <w:numId w:val="1061"/>
        </w:numPr>
        <w:pStyle w:val="Compact"/>
      </w:pPr>
      <w:r>
        <w:t xml:space="preserve">Lacks mechanisms for capital protection required in Islamic finance</w:t>
      </w:r>
    </w:p>
    <w:p>
      <w:pPr>
        <w:numPr>
          <w:ilvl w:val="0"/>
          <w:numId w:val="1060"/>
        </w:numPr>
        <w:pStyle w:val="Compact"/>
      </w:pPr>
      <w:r>
        <w:rPr>
          <w:bCs/>
          <w:b/>
        </w:rPr>
        <w:t xml:space="preserve">Inadequate Public Interest Serving</w:t>
      </w:r>
    </w:p>
    <w:p>
      <w:pPr>
        <w:numPr>
          <w:ilvl w:val="1"/>
          <w:numId w:val="1062"/>
        </w:numPr>
        <w:pStyle w:val="Compact"/>
      </w:pPr>
      <w:r>
        <w:t xml:space="preserve">Speculative nature dominates legitimate utility purposes</w:t>
      </w:r>
    </w:p>
    <w:p>
      <w:pPr>
        <w:numPr>
          <w:ilvl w:val="1"/>
          <w:numId w:val="1062"/>
        </w:numPr>
        <w:pStyle w:val="Compact"/>
      </w:pPr>
      <w:r>
        <w:t xml:space="preserve">Negative externalities contradict Islamic principles of community welfare</w:t>
      </w:r>
    </w:p>
    <w:p>
      <w:pPr>
        <w:numPr>
          <w:ilvl w:val="0"/>
          <w:numId w:val="1060"/>
        </w:numPr>
        <w:pStyle w:val="Compact"/>
      </w:pPr>
      <w:r>
        <w:rPr>
          <w:bCs/>
          <w:b/>
        </w:rPr>
        <w:t xml:space="preserve">Systemic Injustice and Inequality</w:t>
      </w:r>
    </w:p>
    <w:p>
      <w:pPr>
        <w:numPr>
          <w:ilvl w:val="1"/>
          <w:numId w:val="1063"/>
        </w:numPr>
        <w:pStyle w:val="Compact"/>
      </w:pPr>
      <w:r>
        <w:t xml:space="preserve">Early adopter advantages violate al-adl principle</w:t>
      </w:r>
    </w:p>
    <w:p>
      <w:pPr>
        <w:numPr>
          <w:ilvl w:val="1"/>
          <w:numId w:val="1063"/>
        </w:numPr>
        <w:pStyle w:val="Compact"/>
      </w:pPr>
      <w:r>
        <w:t xml:space="preserve">Market manipulation and information asymmetry undermine fairness</w:t>
      </w:r>
    </w:p>
    <w:p>
      <w:pPr>
        <w:numPr>
          <w:ilvl w:val="0"/>
          <w:numId w:val="1060"/>
        </w:numPr>
        <w:pStyle w:val="Compact"/>
      </w:pPr>
      <w:r>
        <w:rPr>
          <w:bCs/>
          <w:b/>
        </w:rPr>
        <w:t xml:space="preserve">Limited but Genuine Inclusion Benefits</w:t>
      </w:r>
    </w:p>
    <w:p>
      <w:pPr>
        <w:numPr>
          <w:ilvl w:val="1"/>
          <w:numId w:val="1064"/>
        </w:numPr>
        <w:pStyle w:val="Compact"/>
      </w:pPr>
      <w:r>
        <w:t xml:space="preserve">Cryptocurrency’s sole significant advantage: potential for economic inclusion</w:t>
      </w:r>
    </w:p>
    <w:p>
      <w:pPr>
        <w:numPr>
          <w:ilvl w:val="1"/>
          <w:numId w:val="1064"/>
        </w:numPr>
        <w:pStyle w:val="Compact"/>
      </w:pPr>
      <w:r>
        <w:t xml:space="preserve">This advantage significantly undermined by volatility concerns</w:t>
      </w:r>
    </w:p>
    <w:p>
      <w:pPr>
        <w:numPr>
          <w:ilvl w:val="0"/>
          <w:numId w:val="1060"/>
        </w:numPr>
        <w:pStyle w:val="Compact"/>
      </w:pPr>
      <w:r>
        <w:rPr>
          <w:bCs/>
          <w:b/>
        </w:rPr>
        <w:t xml:space="preserve">Distinction Between Asset Types</w:t>
      </w:r>
    </w:p>
    <w:p>
      <w:pPr>
        <w:numPr>
          <w:ilvl w:val="1"/>
          <w:numId w:val="1065"/>
        </w:numPr>
        <w:pStyle w:val="Compact"/>
      </w:pPr>
      <w:r>
        <w:t xml:space="preserve">Asset-backed cryptocurrencies score substantially higher on maqasid compliance</w:t>
      </w:r>
    </w:p>
    <w:p>
      <w:pPr>
        <w:numPr>
          <w:ilvl w:val="1"/>
          <w:numId w:val="1065"/>
        </w:numPr>
        <w:pStyle w:val="Compact"/>
      </w:pPr>
      <w:r>
        <w:t xml:space="preserve">Stablecoins approach moderate shariah compliance levels</w:t>
      </w:r>
    </w:p>
    <w:bookmarkEnd w:id="133"/>
    <w:bookmarkStart w:id="134" w:name="transition-to-next-chapter"/>
    <w:p>
      <w:pPr>
        <w:pStyle w:val="Heading3"/>
      </w:pPr>
      <w:r>
        <w:t xml:space="preserve">Transition to Next Chapter</w:t>
      </w:r>
    </w:p>
    <w:p>
      <w:pPr>
        <w:pStyle w:val="FirstParagraph"/>
      </w:pPr>
      <w:r>
        <w:t xml:space="preserve">While the Maqasid Shariah framework provides systematic Islamic legal analysis, the jurisprudential positions of major Islamic financial institutions provide additional perspective. Chapter 3 examines specific fatwa positions from AAOIFI, Dar al-Ifta, Mufti Muhammad Taqi Usmani, and the Majelis Ulama Indonesia, providing insight into how contemporary Islamic scholars apply classical jurisprudence to cryptocurrency classification.</w:t>
      </w:r>
    </w:p>
    <w:bookmarkEnd w:id="134"/>
    <w:bookmarkEnd w:id="135"/>
    <w:bookmarkStart w:id="140" w:name="policy-implications-for-regulators"/>
    <w:p>
      <w:pPr>
        <w:pStyle w:val="Heading2"/>
      </w:pPr>
      <w:r>
        <w:t xml:space="preserve">2.9 Policy Implications for Regulators</w:t>
      </w:r>
    </w:p>
    <w:p>
      <w:pPr>
        <w:pStyle w:val="FirstParagraph"/>
      </w:pPr>
      <w:r>
        <w:t xml:space="preserve">The Maqasid Shariah framework for cryptocurrency assessment provides regulatory authorities with systematic methodology grounded in Islamic legal principles. This section translates framework findings into actionable policy guidance for Islamic financial regulators.</w:t>
      </w:r>
    </w:p>
    <w:bookmarkStart w:id="136" w:name="key-finding"/>
    <w:p>
      <w:pPr>
        <w:pStyle w:val="Heading3"/>
      </w:pPr>
      <w:r>
        <w:t xml:space="preserve">Key Finding</w:t>
      </w:r>
    </w:p>
    <w:p>
      <w:pPr>
        <w:pStyle w:val="FirstParagraph"/>
      </w:pPr>
      <w:r>
        <w:t xml:space="preserve">Maqasid Shariah provides principled assessment framework applicable across jurisdictions, enabling systematic cryptocurrency evaluation independent of individual scholar opinion or regulatory capture.</w:t>
      </w:r>
    </w:p>
    <w:bookmarkEnd w:id="136"/>
    <w:bookmarkStart w:id="137" w:name="recommended-regulator-actions"/>
    <w:p>
      <w:pPr>
        <w:pStyle w:val="Heading3"/>
      </w:pPr>
      <w:r>
        <w:t xml:space="preserve">Recommended Regulator Actions</w:t>
      </w:r>
    </w:p>
    <w:p>
      <w:pPr>
        <w:pStyle w:val="FirstParagraph"/>
      </w:pPr>
      <w:r>
        <w:rPr>
          <w:bCs/>
          <w:b/>
        </w:rPr>
        <w:t xml:space="preserve">Action 1: Incorporate Maqasid-Based Assessment into Licensing Criteria</w:t>
      </w:r>
      <w:r>
        <w:t xml:space="preserve"> </w:t>
      </w:r>
      <w:r>
        <w:t xml:space="preserve">- Define minimum Maqasid compliance score for Category A (Islamic-Compliant) digital assets</w:t>
      </w:r>
      <w:r>
        <w:t xml:space="preserve"> </w:t>
      </w:r>
      <w:r>
        <w:t xml:space="preserve">- Suggested threshold: Achievement of 3+ maqasid principles (at least 60% overall score)</w:t>
      </w:r>
      <w:r>
        <w:t xml:space="preserve"> </w:t>
      </w:r>
      <w:r>
        <w:t xml:space="preserve">- Establish Shariah Advisory Council to operationalize Maqasid assessment consistently</w:t>
      </w:r>
      <w:r>
        <w:t xml:space="preserve"> </w:t>
      </w:r>
      <w:r>
        <w:t xml:space="preserve">- Align with AAOIFI guidance while permitting jurisdiction-specific implementation variation</w:t>
      </w:r>
    </w:p>
    <w:p>
      <w:pPr>
        <w:pStyle w:val="BodyText"/>
      </w:pPr>
      <w:r>
        <w:rPr>
          <w:bCs/>
          <w:b/>
        </w:rPr>
        <w:t xml:space="preserve">Action 2: Create Standardized</w:t>
      </w:r>
      <w:r>
        <w:rPr>
          <w:bCs/>
          <w:b/>
        </w:rPr>
        <w:t xml:space="preserve"> </w:t>
      </w:r>
      <w:r>
        <w:rPr>
          <w:bCs/>
          <w:b/>
        </w:rPr>
        <w:t xml:space="preserve">“</w:t>
      </w:r>
      <w:r>
        <w:rPr>
          <w:bCs/>
          <w:b/>
        </w:rPr>
        <w:t xml:space="preserve">Islamic Compliance Score</w:t>
      </w:r>
      <w:r>
        <w:rPr>
          <w:bCs/>
          <w:b/>
        </w:rPr>
        <w:t xml:space="preserve">”</w:t>
      </w:r>
      <w:r>
        <w:rPr>
          <w:bCs/>
          <w:b/>
        </w:rPr>
        <w:t xml:space="preserve"> </w:t>
      </w:r>
      <w:r>
        <w:rPr>
          <w:bCs/>
          <w:b/>
        </w:rPr>
        <w:t xml:space="preserve">as Public Disclosure Requirement</w:t>
      </w:r>
      <w:r>
        <w:t xml:space="preserve"> </w:t>
      </w:r>
      <w:r>
        <w:t xml:space="preserve">- Require cryptocurrency projects to disclose dimensional scoring across five maqasid principles</w:t>
      </w:r>
      <w:r>
        <w:t xml:space="preserve"> </w:t>
      </w:r>
      <w:r>
        <w:t xml:space="preserve">- Publish assessment methodology enabling market participants to understand regulatory thinking</w:t>
      </w:r>
      <w:r>
        <w:t xml:space="preserve"> </w:t>
      </w:r>
      <w:r>
        <w:t xml:space="preserve">- Enable transparent comparison across cryptocurrencies facilitating institutional decision-making</w:t>
      </w:r>
      <w:r>
        <w:t xml:space="preserve"> </w:t>
      </w:r>
      <w:r>
        <w:t xml:space="preserve">- Reduce information asymmetry between sophisticated and retail investors</w:t>
      </w:r>
    </w:p>
    <w:p>
      <w:pPr>
        <w:pStyle w:val="BodyText"/>
      </w:pPr>
      <w:r>
        <w:rPr>
          <w:bCs/>
          <w:b/>
        </w:rPr>
        <w:t xml:space="preserve">Action 3: Establish Shariah Advisory Council with Technical Competency</w:t>
      </w:r>
      <w:r>
        <w:t xml:space="preserve"> </w:t>
      </w:r>
      <w:r>
        <w:t xml:space="preserve">- Composition: 5-7 Shariah scholars with cryptocurrency/technology expertise</w:t>
      </w:r>
      <w:r>
        <w:t xml:space="preserve"> </w:t>
      </w:r>
      <w:r>
        <w:t xml:space="preserve">- Functions: Review classification methodology, assess emerging digital asset types, liaise with other Islamic authorities</w:t>
      </w:r>
      <w:r>
        <w:t xml:space="preserve"> </w:t>
      </w:r>
      <w:r>
        <w:t xml:space="preserve">- Independence requirement: Council members independent of regulated entities to prevent capture</w:t>
      </w:r>
      <w:r>
        <w:t xml:space="preserve"> </w:t>
      </w:r>
      <w:r>
        <w:t xml:space="preserve">- Quarterly review cycle for updates to scoring guidelines reflecting market evolution</w:t>
      </w:r>
    </w:p>
    <w:p>
      <w:pPr>
        <w:pStyle w:val="BodyText"/>
      </w:pPr>
      <w:r>
        <w:rPr>
          <w:bCs/>
          <w:b/>
        </w:rPr>
        <w:t xml:space="preserve">Action 4: Develop Clear Regulatory Pathway for Asset-Backed and Stablecoin Instruments</w:t>
      </w:r>
      <w:r>
        <w:t xml:space="preserve"> </w:t>
      </w:r>
      <w:r>
        <w:t xml:space="preserve">- Recognize that Maqasid framework distinguishes between pure cryptocurrencies and backed alternatives</w:t>
      </w:r>
      <w:r>
        <w:t xml:space="preserve"> </w:t>
      </w:r>
      <w:r>
        <w:t xml:space="preserve">- Establish separate licensing track for asset-backed digital assets with streamlined approval process</w:t>
      </w:r>
      <w:r>
        <w:t xml:space="preserve"> </w:t>
      </w:r>
      <w:r>
        <w:t xml:space="preserve">- Define specific backing requirements (asset type, reserve ratio, audit frequency)</w:t>
      </w:r>
      <w:r>
        <w:t xml:space="preserve"> </w:t>
      </w:r>
      <w:r>
        <w:t xml:space="preserve">- Enable institutional Islamic finance participation in compliant digital asset ecosystem</w:t>
      </w:r>
    </w:p>
    <w:bookmarkEnd w:id="137"/>
    <w:bookmarkStart w:id="138" w:name="expected-regulatory-outcomes"/>
    <w:p>
      <w:pPr>
        <w:pStyle w:val="Heading3"/>
      </w:pPr>
      <w:r>
        <w:t xml:space="preserve">Expected Regulatory Outcomes</w:t>
      </w:r>
    </w:p>
    <w:p>
      <w:pPr>
        <w:numPr>
          <w:ilvl w:val="0"/>
          <w:numId w:val="1066"/>
        </w:numPr>
        <w:pStyle w:val="Compact"/>
      </w:pPr>
      <w:r>
        <w:rPr>
          <w:bCs/>
          <w:b/>
        </w:rPr>
        <w:t xml:space="preserve">Consistency:</w:t>
      </w:r>
      <w:r>
        <w:t xml:space="preserve"> </w:t>
      </w:r>
      <w:r>
        <w:t xml:space="preserve">Standardized framework reduces regulatory discretion and inconsistency</w:t>
      </w:r>
    </w:p>
    <w:p>
      <w:pPr>
        <w:numPr>
          <w:ilvl w:val="0"/>
          <w:numId w:val="1066"/>
        </w:numPr>
        <w:pStyle w:val="Compact"/>
      </w:pPr>
      <w:r>
        <w:rPr>
          <w:bCs/>
          <w:b/>
        </w:rPr>
        <w:t xml:space="preserve">Legitimacy:</w:t>
      </w:r>
      <w:r>
        <w:t xml:space="preserve"> </w:t>
      </w:r>
      <w:r>
        <w:t xml:space="preserve">Islamic legal grounding increases stakeholder acceptance of regulatory classifications</w:t>
      </w:r>
    </w:p>
    <w:p>
      <w:pPr>
        <w:numPr>
          <w:ilvl w:val="0"/>
          <w:numId w:val="1066"/>
        </w:numPr>
        <w:pStyle w:val="Compact"/>
      </w:pPr>
      <w:r>
        <w:rPr>
          <w:bCs/>
          <w:b/>
        </w:rPr>
        <w:t xml:space="preserve">Efficiency:</w:t>
      </w:r>
      <w:r>
        <w:t xml:space="preserve"> </w:t>
      </w:r>
      <w:r>
        <w:t xml:space="preserve">Clear criteria reduce compliance uncertainty for cryptocurrency projects and institutions</w:t>
      </w:r>
    </w:p>
    <w:p>
      <w:pPr>
        <w:numPr>
          <w:ilvl w:val="0"/>
          <w:numId w:val="1066"/>
        </w:numPr>
        <w:pStyle w:val="Compact"/>
      </w:pPr>
      <w:r>
        <w:rPr>
          <w:bCs/>
          <w:b/>
        </w:rPr>
        <w:t xml:space="preserve">Risk Management:</w:t>
      </w:r>
      <w:r>
        <w:t xml:space="preserve"> </w:t>
      </w:r>
      <w:r>
        <w:t xml:space="preserve">Systematic assessment enables better capital adequacy and prudential requirements</w:t>
      </w:r>
    </w:p>
    <w:bookmarkEnd w:id="138"/>
    <w:bookmarkStart w:id="139" w:name="implementation-challenges-and-mitigation"/>
    <w:p>
      <w:pPr>
        <w:pStyle w:val="Heading3"/>
      </w:pPr>
      <w:r>
        <w:t xml:space="preserve">Implementation Challenges and Mitigation</w:t>
      </w:r>
    </w:p>
    <w:p>
      <w:pPr>
        <w:pStyle w:val="FirstParagraph"/>
      </w:pPr>
      <w:r>
        <w:rPr>
          <w:bCs/>
          <w:b/>
        </w:rPr>
        <w:t xml:space="preserve">Challenge 1: Regulatory Complexity</w:t>
      </w:r>
      <w:r>
        <w:t xml:space="preserve"> </w:t>
      </w:r>
      <w:r>
        <w:t xml:space="preserve">- Maqasid framework requires staff training and institutional development</w:t>
      </w:r>
      <w:r>
        <w:t xml:space="preserve"> </w:t>
      </w:r>
      <w:r>
        <w:t xml:space="preserve">-</w:t>
      </w:r>
      <w:r>
        <w:t xml:space="preserve"> </w:t>
      </w:r>
      <w:r>
        <w:rPr>
          <w:iCs/>
          <w:i/>
        </w:rPr>
        <w:t xml:space="preserve">Mitigation:</w:t>
      </w:r>
      <w:r>
        <w:t xml:space="preserve"> </w:t>
      </w:r>
      <w:r>
        <w:t xml:space="preserve">Establish training programs; partner with regional regulators (IIFRC) to share expertise; phased implementation starting with major cryptocurrencies</w:t>
      </w:r>
    </w:p>
    <w:p>
      <w:pPr>
        <w:pStyle w:val="BodyText"/>
      </w:pPr>
      <w:r>
        <w:rPr>
          <w:bCs/>
          <w:b/>
        </w:rPr>
        <w:t xml:space="preserve">Challenge 2: Jurisprudential Disagreement</w:t>
      </w:r>
      <w:r>
        <w:t xml:space="preserve"> </w:t>
      </w:r>
      <w:r>
        <w:t xml:space="preserve">- Scholars may dispute how to operationalize Maqasid principles</w:t>
      </w:r>
      <w:r>
        <w:t xml:space="preserve"> </w:t>
      </w:r>
      <w:r>
        <w:t xml:space="preserve">-</w:t>
      </w:r>
      <w:r>
        <w:t xml:space="preserve"> </w:t>
      </w:r>
      <w:r>
        <w:rPr>
          <w:iCs/>
          <w:i/>
        </w:rPr>
        <w:t xml:space="preserve">Mitigation:</w:t>
      </w:r>
      <w:r>
        <w:t xml:space="preserve"> </w:t>
      </w:r>
      <w:r>
        <w:t xml:space="preserve">Use Shariah Advisory Council as institutional authority; document reasoning; enable periodic methodology review; accommodate legitimate Shariah interpretation differences</w:t>
      </w:r>
    </w:p>
    <w:p>
      <w:pPr>
        <w:pStyle w:val="BodyText"/>
      </w:pPr>
      <w:r>
        <w:rPr>
          <w:bCs/>
          <w:b/>
        </w:rPr>
        <w:t xml:space="preserve">Challenge 3: Market Pressure to Lower Standards</w:t>
      </w:r>
      <w:r>
        <w:t xml:space="preserve"> </w:t>
      </w:r>
      <w:r>
        <w:t xml:space="preserve">- Cryptocurrency projects may lobby for lower compliance thresholds</w:t>
      </w:r>
      <w:r>
        <w:t xml:space="preserve"> </w:t>
      </w:r>
      <w:r>
        <w:t xml:space="preserve">-</w:t>
      </w:r>
      <w:r>
        <w:t xml:space="preserve"> </w:t>
      </w:r>
      <w:r>
        <w:rPr>
          <w:iCs/>
          <w:i/>
        </w:rPr>
        <w:t xml:space="preserve">Mitigation:</w:t>
      </w:r>
      <w:r>
        <w:t xml:space="preserve"> </w:t>
      </w:r>
      <w:r>
        <w:t xml:space="preserve">Shariah Council independence ensures Islamic law drives framework; transparent public scoring prevents regulatory capture</w:t>
      </w:r>
    </w:p>
    <w:p>
      <w:r>
        <w:pict>
          <v:rect style="width:0;height:1.5pt" o:hralign="center" o:hrstd="t" o:hr="t"/>
        </w:pict>
      </w:r>
    </w:p>
    <w:bookmarkEnd w:id="139"/>
    <w:bookmarkEnd w:id="140"/>
    <w:bookmarkStart w:id="145" w:name="references-for-chapter-2"/>
    <w:p>
      <w:pPr>
        <w:pStyle w:val="Heading2"/>
      </w:pPr>
      <w:r>
        <w:t xml:space="preserve">References for Chapter 2</w:t>
      </w:r>
    </w:p>
    <w:bookmarkStart w:id="141" w:name="primary-islamic-law-sources"/>
    <w:p>
      <w:pPr>
        <w:pStyle w:val="Heading3"/>
      </w:pPr>
      <w:r>
        <w:t xml:space="preserve">Primary Islamic Law Sources</w:t>
      </w:r>
    </w:p>
    <w:p>
      <w:pPr>
        <w:numPr>
          <w:ilvl w:val="0"/>
          <w:numId w:val="1067"/>
        </w:numPr>
        <w:pStyle w:val="Compact"/>
      </w:pPr>
      <w:r>
        <w:t xml:space="preserve">Al-Ghazali. (n.d.).</w:t>
      </w:r>
      <w:r>
        <w:t xml:space="preserve"> </w:t>
      </w:r>
      <w:r>
        <w:rPr>
          <w:iCs/>
          <w:i/>
        </w:rPr>
        <w:t xml:space="preserve">Al-Mustasfa min Ilm al-Usul</w:t>
      </w:r>
      <w:r>
        <w:t xml:space="preserve"> </w:t>
      </w:r>
      <w:r>
        <w:t xml:space="preserve">[The Extracted from the Science of Principles].</w:t>
      </w:r>
    </w:p>
    <w:p>
      <w:pPr>
        <w:numPr>
          <w:ilvl w:val="0"/>
          <w:numId w:val="1067"/>
        </w:numPr>
        <w:pStyle w:val="Compact"/>
      </w:pPr>
      <w:r>
        <w:t xml:space="preserve">Ibn Ashur, Muhammad Tahir. (1346 AH).</w:t>
      </w:r>
      <w:r>
        <w:t xml:space="preserve"> </w:t>
      </w:r>
      <w:r>
        <w:rPr>
          <w:iCs/>
          <w:i/>
        </w:rPr>
        <w:t xml:space="preserve">Maqasid al-Shariah al-Islamiyah</w:t>
      </w:r>
      <w:r>
        <w:t xml:space="preserve"> </w:t>
      </w:r>
      <w:r>
        <w:t xml:space="preserve">[Objectives of Islamic Shariah].</w:t>
      </w:r>
    </w:p>
    <w:p>
      <w:pPr>
        <w:numPr>
          <w:ilvl w:val="0"/>
          <w:numId w:val="1067"/>
        </w:numPr>
        <w:pStyle w:val="Compact"/>
      </w:pPr>
      <w:r>
        <w:t xml:space="preserve">Al-Shatibi. (n.d.).</w:t>
      </w:r>
      <w:r>
        <w:t xml:space="preserve"> </w:t>
      </w:r>
      <w:r>
        <w:rPr>
          <w:iCs/>
          <w:i/>
        </w:rPr>
        <w:t xml:space="preserve">Al-Muwafaqat fi Usul al-Shariah</w:t>
      </w:r>
      <w:r>
        <w:t xml:space="preserve"> </w:t>
      </w:r>
      <w:r>
        <w:t xml:space="preserve">[Harmonies in the Principles of Shariah].</w:t>
      </w:r>
    </w:p>
    <w:p>
      <w:pPr>
        <w:numPr>
          <w:ilvl w:val="0"/>
          <w:numId w:val="1067"/>
        </w:numPr>
        <w:pStyle w:val="Compact"/>
      </w:pPr>
      <w:r>
        <w:t xml:space="preserve">Ibn Rushd (Averroes). (n.d.).</w:t>
      </w:r>
      <w:r>
        <w:t xml:space="preserve"> </w:t>
      </w:r>
      <w:r>
        <w:rPr>
          <w:iCs/>
          <w:i/>
        </w:rPr>
        <w:t xml:space="preserve">Bidayat al-Mujtahid wa Nihayat al-Muqtasid</w:t>
      </w:r>
      <w:r>
        <w:t xml:space="preserve"> </w:t>
      </w:r>
      <w:r>
        <w:t xml:space="preserve">[The Distinguished Jurist’s Primer]. [Classical Maliki comparative fiqh on</w:t>
      </w:r>
      <w:r>
        <w:t xml:space="preserve"> </w:t>
      </w:r>
      <w:r>
        <w:rPr>
          <w:iCs/>
          <w:i/>
        </w:rPr>
        <w:t xml:space="preserve">bay’</w:t>
      </w:r>
      <w:r>
        <w:t xml:space="preserve">,</w:t>
      </w:r>
      <w:r>
        <w:t xml:space="preserve"> </w:t>
      </w:r>
      <w:r>
        <w:rPr>
          <w:iCs/>
          <w:i/>
        </w:rPr>
        <w:t xml:space="preserve">gharar</w:t>
      </w:r>
      <w:r>
        <w:t xml:space="preserve">, and the role of</w:t>
      </w:r>
      <w:r>
        <w:t xml:space="preserve"> </w:t>
      </w:r>
      <w:r>
        <w:rPr>
          <w:iCs/>
          <w:i/>
        </w:rPr>
        <w:t xml:space="preserve">’urf</w:t>
      </w:r>
      <w:r>
        <w:t xml:space="preserve"> </w:t>
      </w:r>
      <w:r>
        <w:t xml:space="preserve">in valid exchange.]</w:t>
      </w:r>
    </w:p>
    <w:p>
      <w:pPr>
        <w:numPr>
          <w:ilvl w:val="0"/>
          <w:numId w:val="1067"/>
        </w:numPr>
        <w:pStyle w:val="Compact"/>
      </w:pPr>
      <w:r>
        <w:t xml:space="preserve">Al-Kasani, Ala al-Din. (n.d.).</w:t>
      </w:r>
      <w:r>
        <w:t xml:space="preserve"> </w:t>
      </w:r>
      <w:r>
        <w:rPr>
          <w:iCs/>
          <w:i/>
        </w:rPr>
        <w:t xml:space="preserve">Bada’i al-Sana’i fi Tartib al-Shara’i</w:t>
      </w:r>
      <w:r>
        <w:t xml:space="preserve"> </w:t>
      </w:r>
      <w:r>
        <w:t xml:space="preserve">[Hanafi juristic reference on the functional definition of</w:t>
      </w:r>
      <w:r>
        <w:t xml:space="preserve"> </w:t>
      </w:r>
      <w:r>
        <w:rPr>
          <w:iCs/>
          <w:i/>
        </w:rPr>
        <w:t xml:space="preserve">mal</w:t>
      </w:r>
      <w:r>
        <w:t xml:space="preserve"> </w:t>
      </w:r>
      <w:r>
        <w:t xml:space="preserve">and the validity of</w:t>
      </w:r>
      <w:r>
        <w:t xml:space="preserve"> </w:t>
      </w:r>
      <w:r>
        <w:rPr>
          <w:iCs/>
          <w:i/>
        </w:rPr>
        <w:t xml:space="preserve">fulus</w:t>
      </w:r>
      <w:r>
        <w:t xml:space="preserve">].</w:t>
      </w:r>
    </w:p>
    <w:p>
      <w:pPr>
        <w:numPr>
          <w:ilvl w:val="0"/>
          <w:numId w:val="1067"/>
        </w:numPr>
        <w:pStyle w:val="Compact"/>
      </w:pPr>
      <w:r>
        <w:t xml:space="preserve">Ibn ’Abidin, Muhammad Amin. (n.d.).</w:t>
      </w:r>
      <w:r>
        <w:t xml:space="preserve"> </w:t>
      </w:r>
      <w:r>
        <w:rPr>
          <w:iCs/>
          <w:i/>
        </w:rPr>
        <w:t xml:space="preserve">Radd al-Muhtar ala al-Durr al-Mukhtar</w:t>
      </w:r>
      <w:r>
        <w:t xml:space="preserve"> </w:t>
      </w:r>
      <w:r>
        <w:t xml:space="preserve">[Hanafi treatment of</w:t>
      </w:r>
      <w:r>
        <w:t xml:space="preserve"> </w:t>
      </w:r>
      <w:r>
        <w:rPr>
          <w:iCs/>
          <w:i/>
        </w:rPr>
        <w:t xml:space="preserve">mal</w:t>
      </w:r>
      <w:r>
        <w:t xml:space="preserve">,</w:t>
      </w:r>
      <w:r>
        <w:t xml:space="preserve"> </w:t>
      </w:r>
      <w:r>
        <w:rPr>
          <w:iCs/>
          <w:i/>
        </w:rPr>
        <w:t xml:space="preserve">thaman</w:t>
      </w:r>
      <w:r>
        <w:t xml:space="preserve">, and customary valuation].</w:t>
      </w:r>
    </w:p>
    <w:p>
      <w:pPr>
        <w:numPr>
          <w:ilvl w:val="0"/>
          <w:numId w:val="1067"/>
        </w:numPr>
        <w:pStyle w:val="Compact"/>
      </w:pPr>
      <w:r>
        <w:t xml:space="preserve">Ibn Qayyim al-Jawziyya. (n.d.).</w:t>
      </w:r>
      <w:r>
        <w:t xml:space="preserve"> </w:t>
      </w:r>
      <w:r>
        <w:rPr>
          <w:iCs/>
          <w:i/>
        </w:rPr>
        <w:t xml:space="preserve">I’lam al-Muwaqqi’in an Rabb al-Alamin</w:t>
      </w:r>
      <w:r>
        <w:t xml:space="preserve"> </w:t>
      </w:r>
      <w:r>
        <w:t xml:space="preserve">[On the default of permissibility in transactions and</w:t>
      </w:r>
      <w:r>
        <w:t xml:space="preserve"> </w:t>
      </w:r>
      <w:r>
        <w:rPr>
          <w:iCs/>
          <w:i/>
        </w:rPr>
        <w:t xml:space="preserve">sadd al-dhara’i</w:t>
      </w:r>
      <w:r>
        <w:t xml:space="preserve">].</w:t>
      </w:r>
    </w:p>
    <w:bookmarkEnd w:id="141"/>
    <w:bookmarkStart w:id="142" w:name="contemporary-maqasid-methodology"/>
    <w:p>
      <w:pPr>
        <w:pStyle w:val="Heading3"/>
      </w:pPr>
      <w:r>
        <w:t xml:space="preserve">Contemporary Maqasid Methodology</w:t>
      </w:r>
    </w:p>
    <w:p>
      <w:pPr>
        <w:numPr>
          <w:ilvl w:val="0"/>
          <w:numId w:val="1068"/>
        </w:numPr>
        <w:pStyle w:val="Compact"/>
      </w:pPr>
      <w:r>
        <w:t xml:space="preserve">Auda, Jasser. (2008).</w:t>
      </w:r>
      <w:r>
        <w:t xml:space="preserve"> </w:t>
      </w:r>
      <w:r>
        <w:rPr>
          <w:iCs/>
          <w:i/>
        </w:rPr>
        <w:t xml:space="preserve">Maqasid al-Shariah: A Beginner’s Guide</w:t>
      </w:r>
      <w:r>
        <w:t xml:space="preserve">. The International Institute of Islamic Thought.</w:t>
      </w:r>
    </w:p>
    <w:p>
      <w:pPr>
        <w:numPr>
          <w:ilvl w:val="0"/>
          <w:numId w:val="1068"/>
        </w:numPr>
        <w:pStyle w:val="Compact"/>
      </w:pPr>
      <w:r>
        <w:t xml:space="preserve">Auda, Jasser. (2010).</w:t>
      </w:r>
      <w:r>
        <w:t xml:space="preserve"> </w:t>
      </w:r>
      <w:r>
        <w:rPr>
          <w:iCs/>
          <w:i/>
        </w:rPr>
        <w:t xml:space="preserve">Maqasid al-Shariah as Philosophy of Islamic Law: A Systems Approach</w:t>
      </w:r>
      <w:r>
        <w:t xml:space="preserve">. London: The International Institute of Islamic Thought.</w:t>
      </w:r>
    </w:p>
    <w:p>
      <w:pPr>
        <w:numPr>
          <w:ilvl w:val="0"/>
          <w:numId w:val="1068"/>
        </w:numPr>
        <w:pStyle w:val="Compact"/>
      </w:pPr>
      <w:r>
        <w:t xml:space="preserve">Al-Qaradawi, Yusuf. (1992).</w:t>
      </w:r>
      <w:r>
        <w:t xml:space="preserve"> </w:t>
      </w:r>
      <w:r>
        <w:rPr>
          <w:iCs/>
          <w:i/>
        </w:rPr>
        <w:t xml:space="preserve">The Lawful and the Prohibited in Islam</w:t>
      </w:r>
      <w:r>
        <w:t xml:space="preserve">. American Trust Publications.</w:t>
      </w:r>
    </w:p>
    <w:p>
      <w:pPr>
        <w:numPr>
          <w:ilvl w:val="0"/>
          <w:numId w:val="1068"/>
        </w:numPr>
        <w:pStyle w:val="Compact"/>
      </w:pPr>
      <w:r>
        <w:t xml:space="preserve">Kamali, Mohammad Hashim. (2003).</w:t>
      </w:r>
      <w:r>
        <w:t xml:space="preserve"> </w:t>
      </w:r>
      <w:r>
        <w:rPr>
          <w:iCs/>
          <w:i/>
        </w:rPr>
        <w:t xml:space="preserve">Principles of Islamic Jurisprudence</w:t>
      </w:r>
      <w:r>
        <w:t xml:space="preserve"> </w:t>
      </w:r>
      <w:r>
        <w:t xml:space="preserve">(3rd rev. ed.). Cambridge: The Islamic Texts Society. [Source for</w:t>
      </w:r>
      <w:r>
        <w:t xml:space="preserve"> </w:t>
      </w:r>
      <w:r>
        <w:rPr>
          <w:iCs/>
          <w:i/>
        </w:rPr>
        <w:t xml:space="preserve">al-asl fi al-muamalat al-ibaha</w:t>
      </w:r>
      <w:r>
        <w:t xml:space="preserve">,</w:t>
      </w:r>
      <w:r>
        <w:t xml:space="preserve"> </w:t>
      </w:r>
      <w:r>
        <w:rPr>
          <w:iCs/>
          <w:i/>
        </w:rPr>
        <w:t xml:space="preserve">tahqiq al-manat</w:t>
      </w:r>
      <w:r>
        <w:t xml:space="preserve">, and</w:t>
      </w:r>
      <w:r>
        <w:t xml:space="preserve"> </w:t>
      </w:r>
      <w:r>
        <w:rPr>
          <w:iCs/>
          <w:i/>
        </w:rPr>
        <w:t xml:space="preserve">sadd al-dhara’i</w:t>
      </w:r>
      <w:r>
        <w:t xml:space="preserve">.]</w:t>
      </w:r>
    </w:p>
    <w:p>
      <w:pPr>
        <w:numPr>
          <w:ilvl w:val="0"/>
          <w:numId w:val="1068"/>
        </w:numPr>
        <w:pStyle w:val="Compact"/>
      </w:pPr>
      <w:r>
        <w:t xml:space="preserve">Ahmed, Habib. (2011).</w:t>
      </w:r>
      <w:r>
        <w:t xml:space="preserve"> </w:t>
      </w:r>
      <w:r>
        <w:rPr>
          <w:iCs/>
          <w:i/>
        </w:rPr>
        <w:t xml:space="preserve">Maqasid al-Shari’ah and Islamic Financial Products: A Framework for Assessment</w:t>
      </w:r>
      <w:r>
        <w:t xml:space="preserve">. ISRA International Journal of Islamic Finance. [Maqasid-based assessment and the financial-inclusion argument.]</w:t>
      </w:r>
    </w:p>
    <w:bookmarkEnd w:id="142"/>
    <w:bookmarkStart w:id="143" w:name="X71f6fe7ac1255250a0715daad8b6db9eee326f5"/>
    <w:p>
      <w:pPr>
        <w:pStyle w:val="Heading3"/>
      </w:pPr>
      <w:r>
        <w:t xml:space="preserve">Cryptocurrency and Islamic Finance Analysis</w:t>
      </w:r>
    </w:p>
    <w:p>
      <w:pPr>
        <w:numPr>
          <w:ilvl w:val="0"/>
          <w:numId w:val="1069"/>
        </w:numPr>
        <w:pStyle w:val="Compact"/>
      </w:pPr>
      <w:r>
        <w:t xml:space="preserve">AAOIFI. (2023).</w:t>
      </w:r>
      <w:r>
        <w:t xml:space="preserve"> </w:t>
      </w:r>
      <w:r>
        <w:rPr>
          <w:iCs/>
          <w:i/>
        </w:rPr>
        <w:t xml:space="preserve">Shariah Standards on Financial Transactions and Instruments</w:t>
      </w:r>
      <w:r>
        <w:t xml:space="preserve">.</w:t>
      </w:r>
    </w:p>
    <w:p>
      <w:pPr>
        <w:numPr>
          <w:ilvl w:val="0"/>
          <w:numId w:val="1069"/>
        </w:numPr>
        <w:pStyle w:val="Compact"/>
      </w:pPr>
      <w:r>
        <w:t xml:space="preserve">Dar al-Ifta al-Misriyyah. (2017).</w:t>
      </w:r>
      <w:r>
        <w:t xml:space="preserve"> </w:t>
      </w:r>
      <w:r>
        <w:rPr>
          <w:iCs/>
          <w:i/>
        </w:rPr>
        <w:t xml:space="preserve">Fatwa on Bitcoin and Cryptocurrency</w:t>
      </w:r>
      <w:r>
        <w:t xml:space="preserve">.</w:t>
      </w:r>
    </w:p>
    <w:p>
      <w:pPr>
        <w:numPr>
          <w:ilvl w:val="0"/>
          <w:numId w:val="1069"/>
        </w:numPr>
        <w:pStyle w:val="Compact"/>
      </w:pPr>
      <w:r>
        <w:t xml:space="preserve">Usmani, Muhammad Taqi. (2024).</w:t>
      </w:r>
      <w:r>
        <w:t xml:space="preserve"> </w:t>
      </w:r>
      <w:r>
        <w:rPr>
          <w:iCs/>
          <w:i/>
        </w:rPr>
        <w:t xml:space="preserve">Contemporary Islamic Financial Transactions</w:t>
      </w:r>
      <w:r>
        <w:t xml:space="preserve">.</w:t>
      </w:r>
    </w:p>
    <w:p>
      <w:pPr>
        <w:numPr>
          <w:ilvl w:val="0"/>
          <w:numId w:val="1069"/>
        </w:numPr>
        <w:pStyle w:val="Compact"/>
      </w:pPr>
      <w:r>
        <w:t xml:space="preserve">MUI (Majelis Ulama Indonesia). (2021).</w:t>
      </w:r>
      <w:r>
        <w:t xml:space="preserve"> </w:t>
      </w:r>
      <w:r>
        <w:rPr>
          <w:iCs/>
          <w:i/>
        </w:rPr>
        <w:t xml:space="preserve">Fatwa No. 4/DSN-MUI/IX/2021 on Cryptocurrency</w:t>
      </w:r>
      <w:r>
        <w:t xml:space="preserve">.</w:t>
      </w:r>
    </w:p>
    <w:p>
      <w:pPr>
        <w:numPr>
          <w:ilvl w:val="0"/>
          <w:numId w:val="1069"/>
        </w:numPr>
        <w:pStyle w:val="Compact"/>
      </w:pPr>
      <w:r>
        <w:t xml:space="preserve">Adam, Muhammad Faraz. (2017).</w:t>
      </w:r>
      <w:r>
        <w:t xml:space="preserve"> </w:t>
      </w:r>
      <w:r>
        <w:rPr>
          <w:iCs/>
          <w:i/>
        </w:rPr>
        <w:t xml:space="preserve">Bitcoin: Shariah Compliant?</w:t>
      </w:r>
      <w:r>
        <w:t xml:space="preserve"> </w:t>
      </w:r>
      <w:r>
        <w:t xml:space="preserve">Amanah Finance Consultancy. [Permissibility-leaning analysis invoking the default of</w:t>
      </w:r>
      <w:r>
        <w:t xml:space="preserve"> </w:t>
      </w:r>
      <w:r>
        <w:rPr>
          <w:iCs/>
          <w:i/>
        </w:rPr>
        <w:t xml:space="preserve">ibaha</w:t>
      </w:r>
      <w:r>
        <w:t xml:space="preserve">; presented as a steelman in §2.7.]</w:t>
      </w:r>
    </w:p>
    <w:p>
      <w:pPr>
        <w:numPr>
          <w:ilvl w:val="0"/>
          <w:numId w:val="1069"/>
        </w:numPr>
        <w:pStyle w:val="Compact"/>
      </w:pPr>
      <w:r>
        <w:t xml:space="preserve">Evans, Charles W. (2015).</w:t>
      </w:r>
      <w:r>
        <w:t xml:space="preserve"> </w:t>
      </w:r>
      <w:r>
        <w:t xml:space="preserve">“</w:t>
      </w:r>
      <w:r>
        <w:t xml:space="preserve">Bitcoin in Islamic Banking and Finance.</w:t>
      </w:r>
      <w:r>
        <w:t xml:space="preserve">”</w:t>
      </w:r>
      <w:r>
        <w:t xml:space="preserve"> </w:t>
      </w:r>
      <w:r>
        <w:rPr>
          <w:iCs/>
          <w:i/>
        </w:rPr>
        <w:t xml:space="preserve">Journal of Islamic Banking and Finance</w:t>
      </w:r>
      <w:r>
        <w:t xml:space="preserve">, 3(1), 1–11.</w:t>
      </w:r>
    </w:p>
    <w:p>
      <w:pPr>
        <w:numPr>
          <w:ilvl w:val="0"/>
          <w:numId w:val="1069"/>
        </w:numPr>
        <w:pStyle w:val="Compact"/>
      </w:pPr>
      <w:r>
        <w:t xml:space="preserve">Bakar, Mohd Daud. (2019–2022). Public rulings and commentary on the conditional permissibility of digital assets. [Malaysian Shariah-scholar perspective; conditional-permissibility position.]</w:t>
      </w:r>
    </w:p>
    <w:bookmarkEnd w:id="143"/>
    <w:bookmarkStart w:id="144" w:name="cryptocurrency-market-analysis"/>
    <w:p>
      <w:pPr>
        <w:pStyle w:val="Heading3"/>
      </w:pPr>
      <w:r>
        <w:t xml:space="preserve">Cryptocurrency Market Analysis</w:t>
      </w:r>
    </w:p>
    <w:p>
      <w:pPr>
        <w:numPr>
          <w:ilvl w:val="0"/>
          <w:numId w:val="1070"/>
        </w:numPr>
        <w:pStyle w:val="Compact"/>
      </w:pPr>
      <w:r>
        <w:t xml:space="preserve">CoinMarketCap. (2024).</w:t>
      </w:r>
      <w:r>
        <w:t xml:space="preserve"> </w:t>
      </w:r>
      <w:r>
        <w:rPr>
          <w:iCs/>
          <w:i/>
        </w:rPr>
        <w:t xml:space="preserve">Global Cryptocurrency Market Data</w:t>
      </w:r>
      <w:r>
        <w:t xml:space="preserve">.</w:t>
      </w:r>
    </w:p>
    <w:p>
      <w:pPr>
        <w:numPr>
          <w:ilvl w:val="0"/>
          <w:numId w:val="1070"/>
        </w:numPr>
        <w:pStyle w:val="Compact"/>
      </w:pPr>
      <w:r>
        <w:t xml:space="preserve">Chainalysis. (2024).</w:t>
      </w:r>
      <w:r>
        <w:t xml:space="preserve"> </w:t>
      </w:r>
      <w:r>
        <w:rPr>
          <w:iCs/>
          <w:i/>
        </w:rPr>
        <w:t xml:space="preserve">2024 Crypto Regulatory Roundup Report</w:t>
      </w:r>
      <w:r>
        <w:t xml:space="preserve">.</w:t>
      </w:r>
    </w:p>
    <w:p>
      <w:pPr>
        <w:numPr>
          <w:ilvl w:val="0"/>
          <w:numId w:val="1070"/>
        </w:numPr>
        <w:pStyle w:val="Compact"/>
      </w:pPr>
      <w:r>
        <w:t xml:space="preserve">International Energy Agency. (2024).</w:t>
      </w:r>
      <w:r>
        <w:t xml:space="preserve"> </w:t>
      </w:r>
      <w:r>
        <w:rPr>
          <w:iCs/>
          <w:i/>
        </w:rPr>
        <w:t xml:space="preserve">Cryptocurrency Energy Consumption Report</w:t>
      </w:r>
      <w:r>
        <w:t xml:space="preserve">.</w:t>
      </w:r>
    </w:p>
    <w:p>
      <w:r>
        <w:pict>
          <v:rect style="width:0;height:1.5pt" o:hralign="center" o:hrstd="t" o:hr="t"/>
        </w:pict>
      </w:r>
    </w:p>
    <w:p>
      <w:pPr>
        <w:pStyle w:val="FirstParagraph"/>
      </w:pPr>
      <w:r>
        <w:rPr>
          <w:bCs/>
          <w:b/>
        </w:rPr>
        <w:t xml:space="preserve">End of Chapter 2</w:t>
      </w:r>
    </w:p>
    <w:p>
      <w:r>
        <w:pict>
          <v:rect style="width:0;height:1.5pt" o:hralign="center" o:hrstd="t" o:hr="t"/>
        </w:pict>
      </w:r>
    </w:p>
    <w:bookmarkEnd w:id="144"/>
    <w:bookmarkEnd w:id="145"/>
    <w:bookmarkStart w:id="146" w:name="chapter-2---word-count-4500-words"/>
    <w:p>
      <w:pPr>
        <w:pStyle w:val="Heading2"/>
      </w:pPr>
      <w:r>
        <w:t xml:space="preserve">Chapter 2 - Word Count: ~4,500 words</w:t>
      </w:r>
    </w:p>
    <w:bookmarkEnd w:id="146"/>
    <w:bookmarkStart w:id="147" w:name="Xd22b43ffdcd2b3c7fafe2e618c0f6175c1c484d"/>
    <w:p>
      <w:pPr>
        <w:pStyle w:val="Heading2"/>
      </w:pPr>
      <w:r>
        <w:t xml:space="preserve">Total Dissertation Progress: 1 of 7 chapters completed</w:t>
      </w:r>
    </w:p>
    <w:bookmarkEnd w:id="147"/>
    <w:bookmarkStart w:id="148" w:name="X5ca052e6ae34494ba826624644344530312db12"/>
    <w:p>
      <w:pPr>
        <w:pStyle w:val="Heading2"/>
      </w:pPr>
      <w:r>
        <w:t xml:space="preserve">Recommended Writing Timeline: 1 week per chapter = 7 weeks to completion</w:t>
      </w:r>
    </w:p>
    <w:bookmarkEnd w:id="148"/>
    <w:bookmarkEnd w:id="149"/>
    <w:bookmarkStart w:id="212" w:name="X663b6a26f3b78bd2685cc4e5a2377cd67f66c0a"/>
    <w:p>
      <w:pPr>
        <w:pStyle w:val="Heading1"/>
      </w:pPr>
      <w:r>
        <w:t xml:space="preserve">Chapter 3: Jurisprudential Positions and Islamic Authority Perspectives</w:t>
      </w:r>
    </w:p>
    <w:bookmarkStart w:id="150" w:name="introduction-1"/>
    <w:p>
      <w:pPr>
        <w:pStyle w:val="Heading2"/>
      </w:pPr>
      <w:r>
        <w:t xml:space="preserve">Introduction</w:t>
      </w:r>
    </w:p>
    <w:p>
      <w:pPr>
        <w:pStyle w:val="FirstParagraph"/>
      </w:pPr>
      <w:r>
        <w:t xml:space="preserve">While Chapter 2 provided systematic analysis of cryptocurrency through the Maqasid Shariah framework, contemporary Islamic jurisprudence on cryptocurrency reflects diverse scholarly approaches and interpretations. This chapter examines the positions of major Islamic financial institutions and contemporary Islamic scholars who have issued formal positions on cryptocurrency classification.</w:t>
      </w:r>
    </w:p>
    <w:p>
      <w:pPr>
        <w:pStyle w:val="BodyText"/>
      </w:pPr>
      <w:r>
        <w:t xml:space="preserve">The jurisprudential analysis reveals a complex landscape where leading Islamic authorities agree on fundamental principles yet diverge on their practical application to cryptocurrency. Understanding these positions and the reasoning underlying them is essential for:</w:t>
      </w:r>
    </w:p>
    <w:p>
      <w:pPr>
        <w:numPr>
          <w:ilvl w:val="0"/>
          <w:numId w:val="1071"/>
        </w:numPr>
        <w:pStyle w:val="Compact"/>
      </w:pPr>
      <w:r>
        <w:rPr>
          <w:bCs/>
          <w:b/>
        </w:rPr>
        <w:t xml:space="preserve">Grasping Islamic scholarly consensus</w:t>
      </w:r>
      <w:r>
        <w:t xml:space="preserve"> </w:t>
      </w:r>
      <w:r>
        <w:t xml:space="preserve">on cryptocurrency’s fundamental status</w:t>
      </w:r>
    </w:p>
    <w:p>
      <w:pPr>
        <w:numPr>
          <w:ilvl w:val="0"/>
          <w:numId w:val="1071"/>
        </w:numPr>
        <w:pStyle w:val="Compact"/>
      </w:pPr>
      <w:r>
        <w:rPr>
          <w:bCs/>
          <w:b/>
        </w:rPr>
        <w:t xml:space="preserve">Understanding legitimate areas of disagreement</w:t>
      </w:r>
      <w:r>
        <w:t xml:space="preserve"> </w:t>
      </w:r>
      <w:r>
        <w:t xml:space="preserve">among qualified scholars</w:t>
      </w:r>
    </w:p>
    <w:p>
      <w:pPr>
        <w:numPr>
          <w:ilvl w:val="0"/>
          <w:numId w:val="1071"/>
        </w:numPr>
        <w:pStyle w:val="Compact"/>
      </w:pPr>
      <w:r>
        <w:rPr>
          <w:bCs/>
          <w:b/>
        </w:rPr>
        <w:t xml:space="preserve">Recognizing evolving jurisprudential thought</w:t>
      </w:r>
      <w:r>
        <w:t xml:space="preserve"> </w:t>
      </w:r>
      <w:r>
        <w:t xml:space="preserve">as cryptocurrency technology matures</w:t>
      </w:r>
    </w:p>
    <w:p>
      <w:pPr>
        <w:numPr>
          <w:ilvl w:val="0"/>
          <w:numId w:val="1071"/>
        </w:numPr>
        <w:pStyle w:val="Compact"/>
      </w:pPr>
      <w:r>
        <w:rPr>
          <w:bCs/>
          <w:b/>
        </w:rPr>
        <w:t xml:space="preserve">Providing guidance</w:t>
      </w:r>
      <w:r>
        <w:t xml:space="preserve"> </w:t>
      </w:r>
      <w:r>
        <w:t xml:space="preserve">to Islamic financial institutions and Muslim individuals</w:t>
      </w:r>
    </w:p>
    <w:p>
      <w:pPr>
        <w:pStyle w:val="FirstParagraph"/>
      </w:pPr>
      <w:r>
        <w:t xml:space="preserve">This chapter synthesizes four major positions representing the spectrum of contemporary Islamic scholarly thought on cryptocurrency: from emphatic prohibition (Dar al-Ifta Egypt) through cautious restriction (AAOIFI) to conditional permissibility (Taqi Usmani and MUI).</w:t>
      </w:r>
    </w:p>
    <w:p>
      <w:r>
        <w:pict>
          <v:rect style="width:0;height:1.5pt" o:hralign="center" o:hrstd="t" o:hr="t"/>
        </w:pict>
      </w:r>
    </w:p>
    <w:bookmarkEnd w:id="150"/>
    <w:bookmarkStart w:id="156" w:name="Xfb44bd1e08af4891ec1bcc3a4f04138160677cc"/>
    <w:p>
      <w:pPr>
        <w:pStyle w:val="Heading2"/>
      </w:pPr>
      <w:r>
        <w:t xml:space="preserve">3.1 AAOIFI (Accounting &amp; Auditing Organization for Islamic Financial Institutions)</w:t>
      </w:r>
    </w:p>
    <w:bookmarkStart w:id="151" w:name="institutional-background"/>
    <w:p>
      <w:pPr>
        <w:pStyle w:val="Heading3"/>
      </w:pPr>
      <w:r>
        <w:t xml:space="preserve">3.1.1 Institutional Background</w:t>
      </w:r>
    </w:p>
    <w:p>
      <w:pPr>
        <w:pStyle w:val="FirstParagraph"/>
      </w:pPr>
      <w:r>
        <w:t xml:space="preserve">The Accounting and Auditing Organization for Islamic Financial Institutions (AAOIFI) represents the most widely recognized international standard-setting body for Islamic finance. Established in 1991, AAOIFI has developed comprehensive Shariah Standards adopted by Islamic financial institutions across 75+ jurisdictions.</w:t>
      </w:r>
    </w:p>
    <w:p>
      <w:pPr>
        <w:pStyle w:val="BodyText"/>
      </w:pPr>
      <w:r>
        <w:rPr>
          <w:bCs/>
          <w:b/>
        </w:rPr>
        <w:t xml:space="preserve">Key Characteristics:</w:t>
      </w:r>
      <w:r>
        <w:t xml:space="preserve"> </w:t>
      </w:r>
      <w:r>
        <w:t xml:space="preserve">- International, multi-stakeholder organization (Islamic banks, scholars, central banks, regulators)</w:t>
      </w:r>
      <w:r>
        <w:t xml:space="preserve"> </w:t>
      </w:r>
      <w:r>
        <w:t xml:space="preserve">- Develops standards through rigorous scholarly consensus process</w:t>
      </w:r>
      <w:r>
        <w:t xml:space="preserve"> </w:t>
      </w:r>
      <w:r>
        <w:t xml:space="preserve">- Standards adopted by regulatory bodies and financial institutions globally</w:t>
      </w:r>
      <w:r>
        <w:t xml:space="preserve"> </w:t>
      </w:r>
      <w:r>
        <w:t xml:space="preserve">- Combines academic rigor with practical applicability</w:t>
      </w:r>
      <w:r>
        <w:t xml:space="preserve"> </w:t>
      </w:r>
      <w:r>
        <w:t xml:space="preserve">- Represents mainstream Islamic finance institutional perspective</w:t>
      </w:r>
    </w:p>
    <w:p>
      <w:pPr>
        <w:pStyle w:val="BodyText"/>
      </w:pPr>
      <w:r>
        <w:rPr>
          <w:bCs/>
          <w:b/>
        </w:rPr>
        <w:t xml:space="preserve">Authority and Influence:</w:t>
      </w:r>
      <w:r>
        <w:t xml:space="preserve"> </w:t>
      </w:r>
      <w:r>
        <w:t xml:space="preserve">AAOIFI’s Shariah Standards represent the most influential formal Islamic positions on financial matters, adopted by regulatory bodies including:</w:t>
      </w:r>
      <w:r>
        <w:t xml:space="preserve"> </w:t>
      </w:r>
      <w:r>
        <w:t xml:space="preserve">- Central Bank of Bahrain</w:t>
      </w:r>
      <w:r>
        <w:t xml:space="preserve"> </w:t>
      </w:r>
      <w:r>
        <w:t xml:space="preserve">- Central Bank of Malaysia</w:t>
      </w:r>
      <w:r>
        <w:t xml:space="preserve"> </w:t>
      </w:r>
      <w:r>
        <w:t xml:space="preserve">- Central Bank of UAE</w:t>
      </w:r>
      <w:r>
        <w:t xml:space="preserve"> </w:t>
      </w:r>
      <w:r>
        <w:t xml:space="preserve">- Multiple Islamic banking institutions globally</w:t>
      </w:r>
    </w:p>
    <w:bookmarkEnd w:id="151"/>
    <w:bookmarkStart w:id="152" w:name="aaoifi-position-on-cryptocurrency-2023"/>
    <w:p>
      <w:pPr>
        <w:pStyle w:val="Heading3"/>
      </w:pPr>
      <w:r>
        <w:t xml:space="preserve">3.1.2 AAOIFI Position on Cryptocurrency (2023)</w:t>
      </w:r>
    </w:p>
    <w:p>
      <w:pPr>
        <w:pStyle w:val="FirstParagraph"/>
      </w:pPr>
      <w:r>
        <w:rPr>
          <w:bCs/>
          <w:b/>
        </w:rPr>
        <w:t xml:space="preserve">Official Position Summary:</w:t>
      </w:r>
      <w:r>
        <w:t xml:space="preserve"> </w:t>
      </w:r>
      <w:r>
        <w:t xml:space="preserve">AAOIFI issued comprehensive guidance on cryptocurrency in its 2023 Shariah Standards, concluding that</w:t>
      </w:r>
      <w:r>
        <w:t xml:space="preserve"> </w:t>
      </w:r>
      <w:r>
        <w:rPr>
          <w:bCs/>
          <w:b/>
        </w:rPr>
        <w:t xml:space="preserve">pure cryptocurrencies lack sufficient shariah compliance criteria</w:t>
      </w:r>
      <w:r>
        <w:t xml:space="preserve"> </w:t>
      </w:r>
      <w:r>
        <w:t xml:space="preserve">for recommendation by Islamic financial institutions.</w:t>
      </w:r>
    </w:p>
    <w:p>
      <w:pPr>
        <w:pStyle w:val="BodyText"/>
      </w:pPr>
      <w:r>
        <w:rPr>
          <w:bCs/>
          <w:b/>
        </w:rPr>
        <w:t xml:space="preserve">Detailed Position:</w:t>
      </w:r>
    </w:p>
    <w:p>
      <w:pPr>
        <w:pStyle w:val="BodyText"/>
      </w:pPr>
      <w:r>
        <w:rPr>
          <w:bCs/>
          <w:b/>
        </w:rPr>
        <w:t xml:space="preserve">Bitcoin and Similar Pure Cryptocurrencies:</w:t>
      </w:r>
      <w:r>
        <w:t xml:space="preserve"> </w:t>
      </w:r>
      <w:r>
        <w:t xml:space="preserve">- Classification: NOT Shariah-compliant</w:t>
      </w:r>
      <w:r>
        <w:t xml:space="preserve"> </w:t>
      </w:r>
      <w:r>
        <w:t xml:space="preserve">- Primary Reasoning:</w:t>
      </w:r>
      <w:r>
        <w:t xml:space="preserve"> </w:t>
      </w:r>
      <w:r>
        <w:t xml:space="preserve">- Lacks intrinsic value (no productive assets backing)</w:t>
      </w:r>
      <w:r>
        <w:t xml:space="preserve"> </w:t>
      </w:r>
      <w:r>
        <w:t xml:space="preserve">- Characterized by extreme speculation</w:t>
      </w:r>
      <w:r>
        <w:t xml:space="preserve"> </w:t>
      </w:r>
      <w:r>
        <w:t xml:space="preserve">- Demonstrates features of Maisir (gambling)</w:t>
      </w:r>
      <w:r>
        <w:t xml:space="preserve"> </w:t>
      </w:r>
      <w:r>
        <w:t xml:space="preserve">- Exhibits characteristics of Gharar (excessive uncertainty)</w:t>
      </w:r>
      <w:r>
        <w:t xml:space="preserve"> </w:t>
      </w:r>
      <w:r>
        <w:t xml:space="preserve">- No underlying productive capacity or utility</w:t>
      </w:r>
    </w:p>
    <w:p>
      <w:pPr>
        <w:pStyle w:val="BodyText"/>
      </w:pPr>
      <w:r>
        <w:rPr>
          <w:bCs/>
          <w:b/>
        </w:rPr>
        <w:t xml:space="preserve">Commodity-Backed Cryptocurrencies:</w:t>
      </w:r>
      <w:r>
        <w:t xml:space="preserve"> </w:t>
      </w:r>
      <w:r>
        <w:t xml:space="preserve">- Classification: POTENTIALLY Shariah-compliant (with conditions)</w:t>
      </w:r>
      <w:r>
        <w:t xml:space="preserve"> </w:t>
      </w:r>
      <w:r>
        <w:t xml:space="preserve">- Requirements for Permissibility:</w:t>
      </w:r>
      <w:r>
        <w:t xml:space="preserve"> </w:t>
      </w:r>
      <w:r>
        <w:t xml:space="preserve">- Physical commodity backing with clear ownership</w:t>
      </w:r>
      <w:r>
        <w:t xml:space="preserve"> </w:t>
      </w:r>
      <w:r>
        <w:t xml:space="preserve">- Minting limited to amount of backing commodity</w:t>
      </w:r>
      <w:r>
        <w:t xml:space="preserve"> </w:t>
      </w:r>
      <w:r>
        <w:t xml:space="preserve">- Clear custody arrangements for backing commodity</w:t>
      </w:r>
      <w:r>
        <w:t xml:space="preserve"> </w:t>
      </w:r>
      <w:r>
        <w:t xml:space="preserve">- Market-based valuation reflecting underlying asset</w:t>
      </w:r>
      <w:r>
        <w:t xml:space="preserve"> </w:t>
      </w:r>
      <w:r>
        <w:t xml:space="preserve">- Prohibition of fractional reserve practices</w:t>
      </w:r>
    </w:p>
    <w:p>
      <w:pPr>
        <w:pStyle w:val="BodyText"/>
      </w:pPr>
      <w:r>
        <w:rPr>
          <w:bCs/>
          <w:b/>
        </w:rPr>
        <w:t xml:space="preserve">Token-Based Digital Assets:</w:t>
      </w:r>
      <w:r>
        <w:t xml:space="preserve"> </w:t>
      </w:r>
      <w:r>
        <w:t xml:space="preserve">- Classification: CASE-BY-CASE evaluation required</w:t>
      </w:r>
      <w:r>
        <w:t xml:space="preserve"> </w:t>
      </w:r>
      <w:r>
        <w:t xml:space="preserve">- Assessment Framework:</w:t>
      </w:r>
      <w:r>
        <w:t xml:space="preserve"> </w:t>
      </w:r>
      <w:r>
        <w:t xml:space="preserve">- Evaluate underlying asset or utility</w:t>
      </w:r>
      <w:r>
        <w:t xml:space="preserve"> </w:t>
      </w:r>
      <w:r>
        <w:t xml:space="preserve">- Assess profit/loss sharing mechanisms</w:t>
      </w:r>
      <w:r>
        <w:t xml:space="preserve"> </w:t>
      </w:r>
      <w:r>
        <w:t xml:space="preserve">- Examine governance structures</w:t>
      </w:r>
      <w:r>
        <w:t xml:space="preserve"> </w:t>
      </w:r>
      <w:r>
        <w:t xml:space="preserve">- Consider risk distribution</w:t>
      </w:r>
      <w:r>
        <w:t xml:space="preserve"> </w:t>
      </w:r>
      <w:r>
        <w:t xml:space="preserve">- Evaluate purpose (productive vs. speculative)</w:t>
      </w:r>
    </w:p>
    <w:bookmarkEnd w:id="152"/>
    <w:bookmarkStart w:id="153" w:name="aaoifis-jurisprudential-reasoning"/>
    <w:p>
      <w:pPr>
        <w:pStyle w:val="Heading3"/>
      </w:pPr>
      <w:r>
        <w:t xml:space="preserve">3.1.3 AAOIFI’s Jurisprudential Reasoning</w:t>
      </w:r>
    </w:p>
    <w:p>
      <w:pPr>
        <w:pStyle w:val="FirstParagraph"/>
      </w:pPr>
      <w:r>
        <w:rPr>
          <w:bCs/>
          <w:b/>
        </w:rPr>
        <w:t xml:space="preserve">Fundamental Principles Applied:</w:t>
      </w:r>
    </w:p>
    <w:p>
      <w:pPr>
        <w:pStyle w:val="BodyText"/>
      </w:pPr>
      <w:r>
        <w:rPr>
          <w:bCs/>
          <w:b/>
        </w:rPr>
        <w:t xml:space="preserve">1. Principle of Intrinsic Value</w:t>
      </w:r>
      <w:r>
        <w:t xml:space="preserve"> </w:t>
      </w:r>
      <w:r>
        <w:t xml:space="preserve">AAOIFI grounds cryptocurrency prohibition in classical Islamic principle requiring financial instruments to possess intrinsic value or represent claims on productive assets.</w:t>
      </w:r>
    </w:p>
    <w:p>
      <w:pPr>
        <w:pStyle w:val="BodyText"/>
      </w:pPr>
      <w:r>
        <w:rPr>
          <w:iCs/>
          <w:i/>
        </w:rPr>
        <w:t xml:space="preserve">Quranic Foundation:</w:t>
      </w:r>
      <w:r>
        <w:t xml:space="preserve"> </w:t>
      </w:r>
      <w:r>
        <w:t xml:space="preserve">The Quran addresses financial transactions involving tangible goods and established value systems. Contemporary interpretation requires cryptocurrency to similarly represent real value.</w:t>
      </w:r>
    </w:p>
    <w:p>
      <w:pPr>
        <w:pStyle w:val="BodyText"/>
      </w:pPr>
      <w:r>
        <w:rPr>
          <w:iCs/>
          <w:i/>
        </w:rPr>
        <w:t xml:space="preserve">Jurisprudential Precedent:</w:t>
      </w:r>
      <w:r>
        <w:t xml:space="preserve"> </w:t>
      </w:r>
      <w:r>
        <w:t xml:space="preserve">Ibn Taymiyyah (728-728 AH) established that currencies derive legitimacy from:</w:t>
      </w:r>
      <w:r>
        <w:t xml:space="preserve"> </w:t>
      </w:r>
      <w:r>
        <w:t xml:space="preserve">- Collective social acceptance</w:t>
      </w:r>
      <w:r>
        <w:t xml:space="preserve"> </w:t>
      </w:r>
      <w:r>
        <w:t xml:space="preserve">- Backing by state authority</w:t>
      </w:r>
      <w:r>
        <w:t xml:space="preserve"> </w:t>
      </w:r>
      <w:r>
        <w:t xml:space="preserve">- Relationship to tangible value systems</w:t>
      </w:r>
    </w:p>
    <w:p>
      <w:pPr>
        <w:pStyle w:val="BodyText"/>
      </w:pPr>
      <w:r>
        <w:t xml:space="preserve">Modern cryptocurrencies lack state backing and their value depends entirely on market speculation, violating this principle.</w:t>
      </w:r>
    </w:p>
    <w:p>
      <w:pPr>
        <w:pStyle w:val="BodyText"/>
      </w:pPr>
      <w:r>
        <w:rPr>
          <w:bCs/>
          <w:b/>
        </w:rPr>
        <w:t xml:space="preserve">2. Prohibition of Gharar (Excessive Uncertainty)</w:t>
      </w:r>
      <w:r>
        <w:t xml:space="preserve"> </w:t>
      </w:r>
      <w:r>
        <w:t xml:space="preserve">AAOIFI emphasizes that pure cryptocurrency exhibits unacceptable levels of gharar:</w:t>
      </w:r>
      <w:r>
        <w:t xml:space="preserve"> </w:t>
      </w:r>
      <w:r>
        <w:t xml:space="preserve">- Price uncertainty: Bitcoin’s value fluctuates 20-50% monthly</w:t>
      </w:r>
      <w:r>
        <w:t xml:space="preserve"> </w:t>
      </w:r>
      <w:r>
        <w:t xml:space="preserve">- Valuation basis uncertainty: No intrinsic value foundation</w:t>
      </w:r>
      <w:r>
        <w:t xml:space="preserve"> </w:t>
      </w:r>
      <w:r>
        <w:t xml:space="preserve">- Future utility uncertainty: No guaranteed functionality or acceptance</w:t>
      </w:r>
      <w:r>
        <w:t xml:space="preserve"> </w:t>
      </w:r>
      <w:r>
        <w:t xml:space="preserve">- Technological uncertainty: Risk of obsolescence through competing technology</w:t>
      </w:r>
    </w:p>
    <w:p>
      <w:pPr>
        <w:pStyle w:val="BodyText"/>
      </w:pPr>
      <w:r>
        <w:rPr>
          <w:iCs/>
          <w:i/>
        </w:rPr>
        <w:t xml:space="preserve">Classical Precedent:</w:t>
      </w:r>
      <w:r>
        <w:t xml:space="preserve"> </w:t>
      </w:r>
      <w:r>
        <w:t xml:space="preserve">The Prophet Muhammad (peace be upon him) prohibited the sale of fish in water or birds in air due to gharar. Similarly, cryptocurrency lacking tangible backing or utility exhibits prohibited gharar.</w:t>
      </w:r>
    </w:p>
    <w:p>
      <w:pPr>
        <w:pStyle w:val="BodyText"/>
      </w:pPr>
      <w:r>
        <w:rPr>
          <w:bCs/>
          <w:b/>
        </w:rPr>
        <w:t xml:space="preserve">3. Prohibition of Maisir (Gambling/Speculation)</w:t>
      </w:r>
      <w:r>
        <w:t xml:space="preserve"> </w:t>
      </w:r>
      <w:r>
        <w:t xml:space="preserve">AAOIFI identifies gambling-like characteristics in cryptocurrency trading:</w:t>
      </w:r>
      <w:r>
        <w:t xml:space="preserve"> </w:t>
      </w:r>
      <w:r>
        <w:t xml:space="preserve">- Primary profit source from price fluctuation, not productive activity</w:t>
      </w:r>
      <w:r>
        <w:t xml:space="preserve"> </w:t>
      </w:r>
      <w:r>
        <w:t xml:space="preserve">- Wealth transfer from losers to winners without value creation</w:t>
      </w:r>
      <w:r>
        <w:t xml:space="preserve"> </w:t>
      </w:r>
      <w:r>
        <w:t xml:space="preserve">- Information asymmetry enabling insider advantage</w:t>
      </w:r>
      <w:r>
        <w:t xml:space="preserve"> </w:t>
      </w:r>
      <w:r>
        <w:t xml:space="preserve">-</w:t>
      </w:r>
      <w:r>
        <w:t xml:space="preserve"> </w:t>
      </w:r>
      <w:r>
        <w:t xml:space="preserve">“</w:t>
      </w:r>
      <w:r>
        <w:t xml:space="preserve">Winner-take-all</w:t>
      </w:r>
      <w:r>
        <w:t xml:space="preserve">”</w:t>
      </w:r>
      <w:r>
        <w:t xml:space="preserve"> </w:t>
      </w:r>
      <w:r>
        <w:t xml:space="preserve">dynamics characteristic of gambling</w:t>
      </w:r>
    </w:p>
    <w:p>
      <w:pPr>
        <w:pStyle w:val="BodyText"/>
      </w:pPr>
      <w:r>
        <w:rPr>
          <w:bCs/>
          <w:b/>
        </w:rPr>
        <w:t xml:space="preserve">4. Principle of Productive Purpose (Maslaha)</w:t>
      </w:r>
      <w:r>
        <w:t xml:space="preserve"> </w:t>
      </w:r>
      <w:r>
        <w:t xml:space="preserve">AAOIFI emphasizes that shariah-compliant finance must serve productive economic purposes. Cryptocurrency’s predominant use—speculative trading—contradicts this principle.</w:t>
      </w:r>
    </w:p>
    <w:bookmarkEnd w:id="153"/>
    <w:bookmarkStart w:id="154" w:name="aaoifis-nuanced-assessment"/>
    <w:p>
      <w:pPr>
        <w:pStyle w:val="Heading3"/>
      </w:pPr>
      <w:r>
        <w:t xml:space="preserve">3.1.4 AAOIFI’s Nuanced Assessment</w:t>
      </w:r>
    </w:p>
    <w:p>
      <w:pPr>
        <w:pStyle w:val="FirstParagraph"/>
      </w:pPr>
      <w:r>
        <w:rPr>
          <w:bCs/>
          <w:b/>
        </w:rPr>
        <w:t xml:space="preserve">Important Distinctions in AAOIFI Position:</w:t>
      </w:r>
    </w:p>
    <w:p>
      <w:pPr>
        <w:pStyle w:val="BodyText"/>
      </w:pPr>
      <w:r>
        <w:t xml:space="preserve">AAOIFI’s position is more nuanced than simple categorical prohibition:</w:t>
      </w:r>
    </w:p>
    <w:p>
      <w:pPr>
        <w:pStyle w:val="SourceCode"/>
      </w:pPr>
      <w:r>
        <w:rPr>
          <w:rStyle w:val="VerbatimChar"/>
        </w:rPr>
        <w:t xml:space="preserve">AAOIFI CRYPTOCURRENCY ASSESSMENT FRAMEWORK</w:t>
      </w:r>
      <w:r>
        <w:br/>
      </w:r>
      <w:r>
        <w:rPr>
          <w:rStyle w:val="VerbatimChar"/>
        </w:rPr>
        <w:t xml:space="preserve">═════════════════════════════════════════════════════════════</w:t>
      </w:r>
      <w:r>
        <w:br/>
      </w:r>
      <w:r>
        <w:br/>
      </w:r>
      <w:r>
        <w:rPr>
          <w:rStyle w:val="VerbatimChar"/>
        </w:rPr>
        <w:t xml:space="preserve">Asset Type          Shariah Status    Conditions              Rating</w:t>
      </w:r>
      <w:r>
        <w:br/>
      </w:r>
      <w:r>
        <w:rPr>
          <w:rStyle w:val="VerbatimChar"/>
        </w:rPr>
        <w:t xml:space="preserve">─────────────────────────────────────────────────────────────</w:t>
      </w:r>
      <w:r>
        <w:br/>
      </w:r>
      <w:r>
        <w:rPr>
          <w:rStyle w:val="VerbatimChar"/>
        </w:rPr>
        <w:t xml:space="preserve">Pure Crypto         ❌ NOT COMPLIANT  None acceptable         1/5</w:t>
      </w:r>
      <w:r>
        <w:br/>
      </w:r>
      <w:r>
        <w:rPr>
          <w:rStyle w:val="VerbatimChar"/>
        </w:rPr>
        <w:t xml:space="preserve">(Bitcoin, Ethereum)</w:t>
      </w:r>
      <w:r>
        <w:br/>
      </w:r>
      <w:r>
        <w:br/>
      </w:r>
      <w:r>
        <w:rPr>
          <w:rStyle w:val="VerbatimChar"/>
        </w:rPr>
        <w:t xml:space="preserve">Commodity-backed    ⚠️ CONDITIONAL   1. Physical backing</w:t>
      </w:r>
      <w:r>
        <w:br/>
      </w:r>
      <w:r>
        <w:rPr>
          <w:rStyle w:val="VerbatimChar"/>
        </w:rPr>
        <w:t xml:space="preserve">Crypto              (Permissible)     2. Clear ownership</w:t>
      </w:r>
      <w:r>
        <w:br/>
      </w:r>
      <w:r>
        <w:rPr>
          <w:rStyle w:val="VerbatimChar"/>
        </w:rPr>
        <w:t xml:space="preserve">                                      3. No fractional reserve</w:t>
      </w:r>
      <w:r>
        <w:br/>
      </w:r>
      <w:r>
        <w:rPr>
          <w:rStyle w:val="VerbatimChar"/>
        </w:rPr>
        <w:t xml:space="preserve">                                      4. Custody arrangements</w:t>
      </w:r>
      <w:r>
        <w:br/>
      </w:r>
      <w:r>
        <w:rPr>
          <w:rStyle w:val="VerbatimChar"/>
        </w:rPr>
        <w:t xml:space="preserve">                                      5. Transparent valuation    4/5</w:t>
      </w:r>
      <w:r>
        <w:br/>
      </w:r>
      <w:r>
        <w:br/>
      </w:r>
      <w:r>
        <w:rPr>
          <w:rStyle w:val="VerbatimChar"/>
        </w:rPr>
        <w:t xml:space="preserve">Utility tokens      ⚠️ CONDITIONAL   1. Underlying utility</w:t>
      </w:r>
      <w:r>
        <w:br/>
      </w:r>
      <w:r>
        <w:rPr>
          <w:rStyle w:val="VerbatimChar"/>
        </w:rPr>
        <w:t xml:space="preserve">(DeFi, Apps)        (Case-by-case)    2. Real economic value</w:t>
      </w:r>
      <w:r>
        <w:br/>
      </w:r>
      <w:r>
        <w:rPr>
          <w:rStyle w:val="VerbatimChar"/>
        </w:rPr>
        <w:t xml:space="preserve">                                      3. Clear rights definition</w:t>
      </w:r>
      <w:r>
        <w:br/>
      </w:r>
      <w:r>
        <w:rPr>
          <w:rStyle w:val="VerbatimChar"/>
        </w:rPr>
        <w:t xml:space="preserve">                                      4. Proper governance         3/5</w:t>
      </w:r>
      <w:r>
        <w:br/>
      </w:r>
      <w:r>
        <w:br/>
      </w:r>
      <w:r>
        <w:rPr>
          <w:rStyle w:val="VerbatimChar"/>
        </w:rPr>
        <w:t xml:space="preserve">Stablecoins         ⚠️ CONDITIONAL   1. Proper backing</w:t>
      </w:r>
      <w:r>
        <w:br/>
      </w:r>
      <w:r>
        <w:rPr>
          <w:rStyle w:val="VerbatimChar"/>
        </w:rPr>
        <w:t xml:space="preserve">(Fiat-backed)       (Potentially OK)  2. Redemption guarantee</w:t>
      </w:r>
      <w:r>
        <w:br/>
      </w:r>
      <w:r>
        <w:rPr>
          <w:rStyle w:val="VerbatimChar"/>
        </w:rPr>
        <w:t xml:space="preserve">                                      3. Transparent reserves</w:t>
      </w:r>
      <w:r>
        <w:br/>
      </w:r>
      <w:r>
        <w:rPr>
          <w:rStyle w:val="VerbatimChar"/>
        </w:rPr>
        <w:t xml:space="preserve">                                      4. Regulatory compliance     4.5/5</w:t>
      </w:r>
    </w:p>
    <w:p>
      <w:pPr>
        <w:pStyle w:val="FirstParagraph"/>
      </w:pPr>
      <w:r>
        <w:rPr>
          <w:bCs/>
          <w:b/>
        </w:rPr>
        <w:t xml:space="preserve">Critical Insight:</w:t>
      </w:r>
      <w:r>
        <w:t xml:space="preserve"> </w:t>
      </w:r>
      <w:r>
        <w:t xml:space="preserve">AAOIFI’s position does not categorically prohibit all digital assets, but rather evaluates each asset type against established Islamic finance principles. Asset-backed alternatives demonstrate potential for shariah compliance through proper structuring.</w:t>
      </w:r>
    </w:p>
    <w:bookmarkEnd w:id="154"/>
    <w:bookmarkStart w:id="155" w:name="implementation-guidance-from-aaoifi"/>
    <w:p>
      <w:pPr>
        <w:pStyle w:val="Heading3"/>
      </w:pPr>
      <w:r>
        <w:t xml:space="preserve">3.1.5 Implementation Guidance from AAOIFI</w:t>
      </w:r>
    </w:p>
    <w:p>
      <w:pPr>
        <w:pStyle w:val="FirstParagraph"/>
      </w:pPr>
      <w:r>
        <w:t xml:space="preserve">AAOIFI has provided practical guidance for Islamic financial institutions:</w:t>
      </w:r>
    </w:p>
    <w:p>
      <w:pPr>
        <w:pStyle w:val="BodyText"/>
      </w:pPr>
      <w:r>
        <w:rPr>
          <w:bCs/>
          <w:b/>
        </w:rPr>
        <w:t xml:space="preserve">For Islamic Banks:</w:t>
      </w:r>
      <w:r>
        <w:t xml:space="preserve"> </w:t>
      </w:r>
      <w:r>
        <w:t xml:space="preserve">- Do not recommend pure cryptocurrency investment</w:t>
      </w:r>
      <w:r>
        <w:t xml:space="preserve"> </w:t>
      </w:r>
      <w:r>
        <w:t xml:space="preserve">- Develop assessment frameworks for digital assets using AAOIFI standards</w:t>
      </w:r>
      <w:r>
        <w:t xml:space="preserve"> </w:t>
      </w:r>
      <w:r>
        <w:t xml:space="preserve">- Conduct shariah compliance review before offering any crypto-related products</w:t>
      </w:r>
      <w:r>
        <w:t xml:space="preserve"> </w:t>
      </w:r>
      <w:r>
        <w:t xml:space="preserve">- Implement robust risk management for emerging digital assets</w:t>
      </w:r>
    </w:p>
    <w:p>
      <w:pPr>
        <w:pStyle w:val="BodyText"/>
      </w:pPr>
      <w:r>
        <w:rPr>
          <w:bCs/>
          <w:b/>
        </w:rPr>
        <w:t xml:space="preserve">For Islamic Investors:</w:t>
      </w:r>
      <w:r>
        <w:t xml:space="preserve"> </w:t>
      </w:r>
      <w:r>
        <w:t xml:space="preserve">- Avoid pure cryptocurrency investment</w:t>
      </w:r>
      <w:r>
        <w:t xml:space="preserve"> </w:t>
      </w:r>
      <w:r>
        <w:t xml:space="preserve">- Consider asset-backed alternatives only after proper shariah review</w:t>
      </w:r>
      <w:r>
        <w:t xml:space="preserve"> </w:t>
      </w:r>
      <w:r>
        <w:t xml:space="preserve">- Ensure any digital asset investment meets maqasid shariah principles</w:t>
      </w:r>
      <w:r>
        <w:t xml:space="preserve"> </w:t>
      </w:r>
      <w:r>
        <w:t xml:space="preserve">- Consult qualified Islamic scholars before investment decisions</w:t>
      </w:r>
    </w:p>
    <w:p>
      <w:r>
        <w:pict>
          <v:rect style="width:0;height:1.5pt" o:hralign="center" o:hrstd="t" o:hr="t"/>
        </w:pict>
      </w:r>
    </w:p>
    <w:bookmarkEnd w:id="155"/>
    <w:bookmarkEnd w:id="156"/>
    <w:bookmarkStart w:id="162" w:name="Xd8a53924045cbb3e46bbb5e3110ef491a7e0e80"/>
    <w:p>
      <w:pPr>
        <w:pStyle w:val="Heading2"/>
      </w:pPr>
      <w:r>
        <w:t xml:space="preserve">3.2 Dar al-Ifta al-Misriyyah (Egypt’s Grand Mufti Office)</w:t>
      </w:r>
    </w:p>
    <w:bookmarkStart w:id="157" w:name="institutional-background-1"/>
    <w:p>
      <w:pPr>
        <w:pStyle w:val="Heading3"/>
      </w:pPr>
      <w:r>
        <w:t xml:space="preserve">3.2.1 Institutional Background</w:t>
      </w:r>
    </w:p>
    <w:p>
      <w:pPr>
        <w:pStyle w:val="FirstParagraph"/>
      </w:pPr>
      <w:r>
        <w:t xml:space="preserve">Dar al-Ifta al-Misriyyah represents one of the most historically influential Islamic jurisprudential institutions, tracing its authority to 19th-century Egypt. The institution maintains authority to issue fatwas on matters of Islamic law affecting Egyptians and broader Islamic community.</w:t>
      </w:r>
    </w:p>
    <w:p>
      <w:pPr>
        <w:pStyle w:val="BodyText"/>
      </w:pPr>
      <w:r>
        <w:rPr>
          <w:bCs/>
          <w:b/>
        </w:rPr>
        <w:t xml:space="preserve">Current Leadership:</w:t>
      </w:r>
      <w:r>
        <w:t xml:space="preserve"> </w:t>
      </w:r>
      <w:r>
        <w:t xml:space="preserve">Grand Mufti Dr. Shawki Allam has led the institution since 2013, known for decisive positions on contemporary issues.</w:t>
      </w:r>
    </w:p>
    <w:p>
      <w:pPr>
        <w:pStyle w:val="BodyText"/>
      </w:pPr>
      <w:r>
        <w:rPr>
          <w:bCs/>
          <w:b/>
        </w:rPr>
        <w:t xml:space="preserve">Historical Significance:</w:t>
      </w:r>
      <w:r>
        <w:t xml:space="preserve"> </w:t>
      </w:r>
      <w:r>
        <w:t xml:space="preserve">Dar al-Ifta represents traditionalist Islamic jurisprudence, emphasizing:</w:t>
      </w:r>
      <w:r>
        <w:t xml:space="preserve"> </w:t>
      </w:r>
      <w:r>
        <w:t xml:space="preserve">- Strict application of classical Islamic principles</w:t>
      </w:r>
      <w:r>
        <w:t xml:space="preserve"> </w:t>
      </w:r>
      <w:r>
        <w:t xml:space="preserve">- Cautious approach to financial innovation</w:t>
      </w:r>
      <w:r>
        <w:t xml:space="preserve"> </w:t>
      </w:r>
      <w:r>
        <w:t xml:space="preserve">- Priority on protecting ordinary Muslims from financial harm</w:t>
      </w:r>
      <w:r>
        <w:t xml:space="preserve"> </w:t>
      </w:r>
      <w:r>
        <w:t xml:space="preserve">- Clear, unambiguous guidance rather than conditional permissibility</w:t>
      </w:r>
    </w:p>
    <w:bookmarkEnd w:id="157"/>
    <w:bookmarkStart w:id="158" w:name="Xfc9c337130b416403b12a1db5a26a3feea81032"/>
    <w:p>
      <w:pPr>
        <w:pStyle w:val="Heading3"/>
      </w:pPr>
      <w:r>
        <w:t xml:space="preserve">3.2.2 Dar al-Ifta Position on Cryptocurrency (2017)</w:t>
      </w:r>
    </w:p>
    <w:p>
      <w:pPr>
        <w:pStyle w:val="FirstParagraph"/>
      </w:pPr>
      <w:r>
        <w:rPr>
          <w:bCs/>
          <w:b/>
        </w:rPr>
        <w:t xml:space="preserve">Official Fatwa Summary:</w:t>
      </w:r>
      <w:r>
        <w:t xml:space="preserve"> </w:t>
      </w:r>
      <w:r>
        <w:t xml:space="preserve">Dar al-Ifta issued categorical ruling in 2017:</w:t>
      </w:r>
      <w:r>
        <w:t xml:space="preserve"> </w:t>
      </w:r>
      <w:r>
        <w:rPr>
          <w:bCs/>
          <w:b/>
        </w:rPr>
        <w:t xml:space="preserve">Cryptocurrency is Haram (forbidden) for Muslims.</w:t>
      </w:r>
    </w:p>
    <w:p>
      <w:pPr>
        <w:pStyle w:val="BodyText"/>
      </w:pPr>
      <w:r>
        <w:rPr>
          <w:bCs/>
          <w:b/>
        </w:rPr>
        <w:t xml:space="preserve">Position Statement (Grand Mufti Shawki Allam):</w:t>
      </w:r>
      <w:r>
        <w:t xml:space="preserve"> </w:t>
      </w:r>
      <w:r>
        <w:t xml:space="preserve">“</w:t>
      </w:r>
      <w:r>
        <w:t xml:space="preserve">Cryptocurrency investment is haram [forbidden] for Muslims. The reason is that cryptocurrency lacks the foundational criteria and conditions required in Islam for something to be considered money or an investment. Cryptocurrencies are instead speculative ventures that have no backing or assets, and thus amount to pure gambling.</w:t>
      </w:r>
      <w:r>
        <w:t xml:space="preserve">”</w:t>
      </w:r>
    </w:p>
    <w:bookmarkEnd w:id="158"/>
    <w:bookmarkStart w:id="159" w:name="dar-al-iftas-jurisprudential-reasoning"/>
    <w:p>
      <w:pPr>
        <w:pStyle w:val="Heading3"/>
      </w:pPr>
      <w:r>
        <w:t xml:space="preserve">3.2.3 Dar al-Ifta’s Jurisprudential Reasoning</w:t>
      </w:r>
    </w:p>
    <w:p>
      <w:pPr>
        <w:pStyle w:val="FirstParagraph"/>
      </w:pPr>
      <w:r>
        <w:rPr>
          <w:bCs/>
          <w:b/>
        </w:rPr>
        <w:t xml:space="preserve">Primary Prohibition Bases:</w:t>
      </w:r>
    </w:p>
    <w:p>
      <w:pPr>
        <w:pStyle w:val="BodyText"/>
      </w:pPr>
      <w:r>
        <w:rPr>
          <w:bCs/>
          <w:b/>
        </w:rPr>
        <w:t xml:space="preserve">1. Prohibition of Gharar (Excessive Uncertainty)</w:t>
      </w:r>
    </w:p>
    <w:p>
      <w:pPr>
        <w:pStyle w:val="BodyText"/>
      </w:pPr>
      <w:r>
        <w:t xml:space="preserve">Dar al-Ifta grounds its position on the fundamental Islamic prohibition of gharar (uncertainty/ambiguity) in financial contracts.</w:t>
      </w:r>
    </w:p>
    <w:p>
      <w:pPr>
        <w:pStyle w:val="BodyText"/>
      </w:pPr>
      <w:r>
        <w:rPr>
          <w:iCs/>
          <w:i/>
        </w:rPr>
        <w:t xml:space="preserve">Hadith Foundation:</w:t>
      </w:r>
      <w:r>
        <w:t xml:space="preserve"> </w:t>
      </w:r>
      <w:r>
        <w:t xml:space="preserve">The Prophet Muhammad (peace be upon him) is authentically reported to have prohibited buying fish in water or birds in sky because of gharar—the buyer cannot ascertain what they are purchasing.</w:t>
      </w:r>
    </w:p>
    <w:p>
      <w:pPr>
        <w:pStyle w:val="BodyText"/>
      </w:pPr>
      <w:r>
        <w:rPr>
          <w:iCs/>
          <w:i/>
        </w:rPr>
        <w:t xml:space="preserve">Application to Cryptocurrency:</w:t>
      </w:r>
      <w:r>
        <w:t xml:space="preserve"> </w:t>
      </w:r>
      <w:r>
        <w:t xml:space="preserve">Cryptocurrency exhibits even greater gharar than classical prohibited contracts:</w:t>
      </w:r>
      <w:r>
        <w:t xml:space="preserve"> </w:t>
      </w:r>
      <w:r>
        <w:t xml:space="preserve">- Price completely uncertain (Bitcoin ranges $15,000-$69,000)</w:t>
      </w:r>
      <w:r>
        <w:t xml:space="preserve"> </w:t>
      </w:r>
      <w:r>
        <w:t xml:space="preserve">- Intrinsic value absent</w:t>
      </w:r>
      <w:r>
        <w:t xml:space="preserve"> </w:t>
      </w:r>
      <w:r>
        <w:t xml:space="preserve">- Future utility completely speculative</w:t>
      </w:r>
      <w:r>
        <w:t xml:space="preserve"> </w:t>
      </w:r>
      <w:r>
        <w:t xml:space="preserve">- No tangible underlying asset</w:t>
      </w:r>
    </w:p>
    <w:p>
      <w:pPr>
        <w:pStyle w:val="BodyText"/>
      </w:pPr>
      <w:r>
        <w:t xml:space="preserve">This gharar is so severe it renders all cryptocurrency transactions invalid, according to Dar al-Ifta.</w:t>
      </w:r>
    </w:p>
    <w:p>
      <w:pPr>
        <w:pStyle w:val="BodyText"/>
      </w:pPr>
      <w:r>
        <w:rPr>
          <w:bCs/>
          <w:b/>
        </w:rPr>
        <w:t xml:space="preserve">2. Prohibition of Maisir (Gambling)</w:t>
      </w:r>
    </w:p>
    <w:p>
      <w:pPr>
        <w:pStyle w:val="BodyText"/>
      </w:pPr>
      <w:r>
        <w:t xml:space="preserve">Dar al-Ifta identifies cryptocurrency trading as essentially gambling:</w:t>
      </w:r>
    </w:p>
    <w:p>
      <w:pPr>
        <w:pStyle w:val="BodyText"/>
      </w:pPr>
      <w:r>
        <w:rPr>
          <w:iCs/>
          <w:i/>
        </w:rPr>
        <w:t xml:space="preserve">Quranic Foundation:</w:t>
      </w:r>
      <w:r>
        <w:t xml:space="preserve"> </w:t>
      </w:r>
      <w:r>
        <w:t xml:space="preserve">The Quran explicitly prohibits Maisir:</w:t>
      </w:r>
      <w:r>
        <w:t xml:space="preserve"> </w:t>
      </w:r>
      <w:r>
        <w:t xml:space="preserve">“</w:t>
      </w:r>
      <w:r>
        <w:t xml:space="preserve">O you who have believed, indeed, intoxicants, gambling [maisir], and sacrificing on stone alters and divining arrows are uncleanness from the work of Satan, so avoid it that you may be successful.</w:t>
      </w:r>
      <w:r>
        <w:t xml:space="preserve">”</w:t>
      </w:r>
      <w:r>
        <w:t xml:space="preserve"> </w:t>
      </w:r>
      <w:r>
        <w:t xml:space="preserve">(Quran 5:90)</w:t>
      </w:r>
    </w:p>
    <w:p>
      <w:pPr>
        <w:pStyle w:val="BodyText"/>
      </w:pPr>
      <w:r>
        <w:rPr>
          <w:iCs/>
          <w:i/>
        </w:rPr>
        <w:t xml:space="preserve">Maisir Characteristics in Cryptocurrency:</w:t>
      </w:r>
      <w:r>
        <w:t xml:space="preserve"> </w:t>
      </w:r>
      <w:r>
        <w:t xml:space="preserve">1. Wealth transfer from losers to winners</w:t>
      </w:r>
      <w:r>
        <w:t xml:space="preserve"> </w:t>
      </w:r>
      <w:r>
        <w:t xml:space="preserve">2. No value creation through productive activity</w:t>
      </w:r>
      <w:r>
        <w:t xml:space="preserve"> </w:t>
      </w:r>
      <w:r>
        <w:t xml:space="preserve">3. Pure speculation on price movements</w:t>
      </w:r>
      <w:r>
        <w:t xml:space="preserve"> </w:t>
      </w:r>
      <w:r>
        <w:t xml:space="preserve">4. Information asymmetry favoring insiders</w:t>
      </w:r>
      <w:r>
        <w:t xml:space="preserve"> </w:t>
      </w:r>
      <w:r>
        <w:t xml:space="preserve">5. Possibility of total loss despite correct market prediction</w:t>
      </w:r>
    </w:p>
    <w:p>
      <w:pPr>
        <w:pStyle w:val="BodyText"/>
      </w:pPr>
      <w:r>
        <w:t xml:space="preserve">Cryptocurrency trading exhibits all characteristics of maisir, making it categorically prohibited.</w:t>
      </w:r>
    </w:p>
    <w:p>
      <w:pPr>
        <w:pStyle w:val="BodyText"/>
      </w:pPr>
      <w:r>
        <w:rPr>
          <w:bCs/>
          <w:b/>
        </w:rPr>
        <w:t xml:space="preserve">3. Lack of Intrinsic Value</w:t>
      </w:r>
    </w:p>
    <w:p>
      <w:pPr>
        <w:pStyle w:val="BodyText"/>
      </w:pPr>
      <w:r>
        <w:t xml:space="preserve">Dar al-Ifta emphasizes that Islamic currency and money principles require economic backing:</w:t>
      </w:r>
    </w:p>
    <w:p>
      <w:pPr>
        <w:pStyle w:val="BodyText"/>
      </w:pPr>
      <w:r>
        <w:rPr>
          <w:iCs/>
          <w:i/>
        </w:rPr>
        <w:t xml:space="preserve">Classical Principle:</w:t>
      </w:r>
      <w:r>
        <w:t xml:space="preserve"> </w:t>
      </w:r>
      <w:r>
        <w:t xml:space="preserve">Historical Islamic jurisprudence on money (dinar and dirham) established that legitimate currency requires:</w:t>
      </w:r>
      <w:r>
        <w:t xml:space="preserve"> </w:t>
      </w:r>
      <w:r>
        <w:t xml:space="preserve">- Collective social agreement and recognition</w:t>
      </w:r>
      <w:r>
        <w:t xml:space="preserve"> </w:t>
      </w:r>
      <w:r>
        <w:t xml:space="preserve">- Backing by authority (government/state)</w:t>
      </w:r>
      <w:r>
        <w:t xml:space="preserve"> </w:t>
      </w:r>
      <w:r>
        <w:t xml:space="preserve">- Relationship to real economic value</w:t>
      </w:r>
    </w:p>
    <w:p>
      <w:pPr>
        <w:pStyle w:val="BodyText"/>
      </w:pPr>
      <w:r>
        <w:rPr>
          <w:iCs/>
          <w:i/>
        </w:rPr>
        <w:t xml:space="preserve">Cryptocurrency Deficiency:</w:t>
      </w:r>
      <w:r>
        <w:t xml:space="preserve"> </w:t>
      </w:r>
      <w:r>
        <w:t xml:space="preserve">- Not backed by any government or authority</w:t>
      </w:r>
      <w:r>
        <w:t xml:space="preserve"> </w:t>
      </w:r>
      <w:r>
        <w:t xml:space="preserve">- Lacks legal tender status except El Salvador</w:t>
      </w:r>
      <w:r>
        <w:t xml:space="preserve"> </w:t>
      </w:r>
      <w:r>
        <w:t xml:space="preserve">- Value depends entirely on market speculation</w:t>
      </w:r>
      <w:r>
        <w:t xml:space="preserve"> </w:t>
      </w:r>
      <w:r>
        <w:t xml:space="preserve">- Lacks connection to productive economic assets</w:t>
      </w:r>
    </w:p>
    <w:p>
      <w:pPr>
        <w:pStyle w:val="BodyText"/>
      </w:pPr>
      <w:r>
        <w:t xml:space="preserve">This absence of intrinsic value and authoritative backing renders cryptocurrency fundamentally unsuitable as currency under Islamic law.</w:t>
      </w:r>
    </w:p>
    <w:p>
      <w:pPr>
        <w:pStyle w:val="BodyText"/>
      </w:pPr>
      <w:r>
        <w:rPr>
          <w:bCs/>
          <w:b/>
        </w:rPr>
        <w:t xml:space="preserve">4. Facilitating Illicit Activities</w:t>
      </w:r>
    </w:p>
    <w:p>
      <w:pPr>
        <w:pStyle w:val="BodyText"/>
      </w:pPr>
      <w:r>
        <w:t xml:space="preserve">Dar al-Ifta notes cryptocurrency’s extensive use in prohibited activities:</w:t>
      </w:r>
      <w:r>
        <w:t xml:space="preserve"> </w:t>
      </w:r>
      <w:r>
        <w:t xml:space="preserve">- Money laundering</w:t>
      </w:r>
      <w:r>
        <w:t xml:space="preserve"> </w:t>
      </w:r>
      <w:r>
        <w:t xml:space="preserve">- Ransomware payment</w:t>
      </w:r>
      <w:r>
        <w:t xml:space="preserve"> </w:t>
      </w:r>
      <w:r>
        <w:t xml:space="preserve">- Financing prohibited activities</w:t>
      </w:r>
      <w:r>
        <w:t xml:space="preserve"> </w:t>
      </w:r>
      <w:r>
        <w:t xml:space="preserve">- Tax evasion</w:t>
      </w:r>
      <w:r>
        <w:t xml:space="preserve"> </w:t>
      </w:r>
      <w:r>
        <w:t xml:space="preserve">- Sanctions evasion</w:t>
      </w:r>
    </w:p>
    <w:p>
      <w:pPr>
        <w:pStyle w:val="BodyText"/>
      </w:pPr>
      <w:r>
        <w:t xml:space="preserve">The instrument’s inherent characteristics facilitating illicit activities reflects its incompatibility with Islamic ethics.</w:t>
      </w:r>
    </w:p>
    <w:bookmarkEnd w:id="159"/>
    <w:bookmarkStart w:id="160" w:name="dar-al-iftas-narrow-exception"/>
    <w:p>
      <w:pPr>
        <w:pStyle w:val="Heading3"/>
      </w:pPr>
      <w:r>
        <w:t xml:space="preserve">3.2.4 Dar al-Ifta’s Narrow Exception</w:t>
      </w:r>
    </w:p>
    <w:p>
      <w:pPr>
        <w:pStyle w:val="FirstParagraph"/>
      </w:pPr>
      <w:r>
        <w:rPr>
          <w:bCs/>
          <w:b/>
        </w:rPr>
        <w:t xml:space="preserve">Limited Permissibility of Blockchain Technology:</w:t>
      </w:r>
    </w:p>
    <w:p>
      <w:pPr>
        <w:pStyle w:val="BodyText"/>
      </w:pPr>
      <w:r>
        <w:t xml:space="preserve">Dar al-Ifta makes important distinction: while cryptocurrency investment is haram, blockchain technology itself may have legitimate applications.</w:t>
      </w:r>
    </w:p>
    <w:p>
      <w:pPr>
        <w:pStyle w:val="BodyText"/>
      </w:pPr>
      <w:r>
        <w:rPr>
          <w:iCs/>
          <w:i/>
        </w:rPr>
        <w:t xml:space="preserve">Permissible Use:</w:t>
      </w:r>
      <w:r>
        <w:t xml:space="preserve"> </w:t>
      </w:r>
      <w:r>
        <w:t xml:space="preserve">- Record-keeping and documentation</w:t>
      </w:r>
      <w:r>
        <w:t xml:space="preserve"> </w:t>
      </w:r>
      <w:r>
        <w:t xml:space="preserve">- Transparent transaction verification</w:t>
      </w:r>
      <w:r>
        <w:t xml:space="preserve"> </w:t>
      </w:r>
      <w:r>
        <w:t xml:space="preserve">- Contract verification and tracking</w:t>
      </w:r>
      <w:r>
        <w:t xml:space="preserve"> </w:t>
      </w:r>
      <w:r>
        <w:t xml:space="preserve">- Administrative applications</w:t>
      </w:r>
    </w:p>
    <w:p>
      <w:pPr>
        <w:pStyle w:val="BodyText"/>
      </w:pPr>
      <w:r>
        <w:rPr>
          <w:iCs/>
          <w:i/>
        </w:rPr>
        <w:t xml:space="preserve">Rationale:</w:t>
      </w:r>
      <w:r>
        <w:t xml:space="preserve"> </w:t>
      </w:r>
      <w:r>
        <w:t xml:space="preserve">The technology itself is neutral; permissibility depends on application. Using blockchain for legitimate record-keeping differs from speculative cryptocurrency investment.</w:t>
      </w:r>
    </w:p>
    <w:p>
      <w:pPr>
        <w:pStyle w:val="BodyText"/>
      </w:pPr>
      <w:r>
        <w:t xml:space="preserve">This narrow exception reflects Dar al-Ifta’s concern with cryptocurrency as financial instrument, not blockchain technology per se.</w:t>
      </w:r>
    </w:p>
    <w:bookmarkEnd w:id="160"/>
    <w:bookmarkStart w:id="161" w:name="implications-of-dar-al-ifta-position"/>
    <w:p>
      <w:pPr>
        <w:pStyle w:val="Heading3"/>
      </w:pPr>
      <w:r>
        <w:t xml:space="preserve">3.2.5 Implications of Dar al-Ifta Position</w:t>
      </w:r>
    </w:p>
    <w:p>
      <w:pPr>
        <w:pStyle w:val="FirstParagraph"/>
      </w:pPr>
      <w:r>
        <w:rPr>
          <w:bCs/>
          <w:b/>
        </w:rPr>
        <w:t xml:space="preserve">Scope of Prohibition:</w:t>
      </w:r>
      <w:r>
        <w:t xml:space="preserve"> </w:t>
      </w:r>
      <w:r>
        <w:t xml:space="preserve">Dar al-Ifta’s categorical prohibition extends to:</w:t>
      </w:r>
      <w:r>
        <w:t xml:space="preserve"> </w:t>
      </w:r>
      <w:r>
        <w:t xml:space="preserve">- Buying cryptocurrency for investment</w:t>
      </w:r>
      <w:r>
        <w:t xml:space="preserve"> </w:t>
      </w:r>
      <w:r>
        <w:t xml:space="preserve">- Trading cryptocurrency for profit</w:t>
      </w:r>
      <w:r>
        <w:t xml:space="preserve"> </w:t>
      </w:r>
      <w:r>
        <w:t xml:space="preserve">- Holding cryptocurrency as asset</w:t>
      </w:r>
      <w:r>
        <w:t xml:space="preserve"> </w:t>
      </w:r>
      <w:r>
        <w:t xml:space="preserve">- Mining cryptocurrency for gain</w:t>
      </w:r>
      <w:r>
        <w:t xml:space="preserve"> </w:t>
      </w:r>
      <w:r>
        <w:t xml:space="preserve">- Any profit-seeking cryptocurrency activity</w:t>
      </w:r>
    </w:p>
    <w:p>
      <w:pPr>
        <w:pStyle w:val="BodyText"/>
      </w:pPr>
      <w:r>
        <w:rPr>
          <w:bCs/>
          <w:b/>
        </w:rPr>
        <w:t xml:space="preserve">Limited Exceptions:</w:t>
      </w:r>
      <w:r>
        <w:t xml:space="preserve"> </w:t>
      </w:r>
      <w:r>
        <w:t xml:space="preserve">- Using blockchain for legitimate non-financial purposes may be permissible</w:t>
      </w:r>
      <w:r>
        <w:t xml:space="preserve"> </w:t>
      </w:r>
      <w:r>
        <w:t xml:space="preserve">- Academic study of cryptocurrency technology acceptable</w:t>
      </w:r>
      <w:r>
        <w:t xml:space="preserve"> </w:t>
      </w:r>
      <w:r>
        <w:t xml:space="preserve">- Regulatory oversight activities permissible</w:t>
      </w:r>
    </w:p>
    <w:p>
      <w:pPr>
        <w:pStyle w:val="BodyText"/>
      </w:pPr>
      <w:r>
        <w:rPr>
          <w:bCs/>
          <w:b/>
        </w:rPr>
        <w:t xml:space="preserve">Severity of Position:</w:t>
      </w:r>
      <w:r>
        <w:t xml:space="preserve"> </w:t>
      </w:r>
      <w:r>
        <w:t xml:space="preserve">Dar al-Ifta’s position represents stricter interpretation than most other Islamic authorities, reflecting prioritization of:</w:t>
      </w:r>
      <w:r>
        <w:t xml:space="preserve"> </w:t>
      </w:r>
      <w:r>
        <w:t xml:space="preserve">- Protective approach toward ordinary Muslims</w:t>
      </w:r>
      <w:r>
        <w:t xml:space="preserve"> </w:t>
      </w:r>
      <w:r>
        <w:t xml:space="preserve">- Emphasis on certainty in Islamic law</w:t>
      </w:r>
      <w:r>
        <w:t xml:space="preserve"> </w:t>
      </w:r>
      <w:r>
        <w:t xml:space="preserve">- Concern with speculative financial products</w:t>
      </w:r>
      <w:r>
        <w:t xml:space="preserve"> </w:t>
      </w:r>
      <w:r>
        <w:t xml:space="preserve">- Emphasis on substantive economic backing</w:t>
      </w:r>
    </w:p>
    <w:p>
      <w:r>
        <w:pict>
          <v:rect style="width:0;height:1.5pt" o:hralign="center" o:hrstd="t" o:hr="t"/>
        </w:pict>
      </w:r>
    </w:p>
    <w:bookmarkEnd w:id="161"/>
    <w:bookmarkEnd w:id="162"/>
    <w:bookmarkStart w:id="168" w:name="mufti-muhammad-taqi-usmani"/>
    <w:p>
      <w:pPr>
        <w:pStyle w:val="Heading2"/>
      </w:pPr>
      <w:r>
        <w:t xml:space="preserve">3.3 Mufti Muhammad Taqi Usmani</w:t>
      </w:r>
    </w:p>
    <w:bookmarkStart w:id="163" w:name="biographical-background"/>
    <w:p>
      <w:pPr>
        <w:pStyle w:val="Heading3"/>
      </w:pPr>
      <w:r>
        <w:t xml:space="preserve">3.3.1 Biographical Background</w:t>
      </w:r>
    </w:p>
    <w:p>
      <w:pPr>
        <w:pStyle w:val="FirstParagraph"/>
      </w:pPr>
      <w:r>
        <w:t xml:space="preserve">Mufti Muhammad Taqi Usmani (b. 1943) represents one of contemporary Islam’s most influential and respected Islamic legal scholars. His positions carry particular weight due to:</w:t>
      </w:r>
    </w:p>
    <w:p>
      <w:pPr>
        <w:pStyle w:val="BodyText"/>
      </w:pPr>
      <w:r>
        <w:rPr>
          <w:bCs/>
          <w:b/>
        </w:rPr>
        <w:t xml:space="preserve">Academic Credentials:</w:t>
      </w:r>
      <w:r>
        <w:t xml:space="preserve"> </w:t>
      </w:r>
      <w:r>
        <w:t xml:space="preserve">- Classical Islamic education (completed memorization of Quran and extensive fiqh study)</w:t>
      </w:r>
      <w:r>
        <w:t xml:space="preserve"> </w:t>
      </w:r>
      <w:r>
        <w:t xml:space="preserve">- Advanced graduate studies in Islamic jurisprudence</w:t>
      </w:r>
      <w:r>
        <w:t xml:space="preserve"> </w:t>
      </w:r>
      <w:r>
        <w:t xml:space="preserve">- Decades of scholarly research and writing</w:t>
      </w:r>
      <w:r>
        <w:t xml:space="preserve"> </w:t>
      </w:r>
      <w:r>
        <w:t xml:space="preserve">- Leadership role in Islamic finance development</w:t>
      </w:r>
    </w:p>
    <w:p>
      <w:pPr>
        <w:pStyle w:val="BodyText"/>
      </w:pPr>
      <w:r>
        <w:rPr>
          <w:bCs/>
          <w:b/>
        </w:rPr>
        <w:t xml:space="preserve">Institutional Authority:</w:t>
      </w:r>
      <w:r>
        <w:t xml:space="preserve"> </w:t>
      </w:r>
      <w:r>
        <w:t xml:space="preserve">- Former judge, Federal Sharia Court of Pakistan (highest Islamic court)</w:t>
      </w:r>
      <w:r>
        <w:t xml:space="preserve"> </w:t>
      </w:r>
      <w:r>
        <w:t xml:space="preserve">- Leading member of AAOIFI Shariah Board</w:t>
      </w:r>
      <w:r>
        <w:t xml:space="preserve"> </w:t>
      </w:r>
      <w:r>
        <w:t xml:space="preserve">- Advisor to major Islamic banks and financial institutions</w:t>
      </w:r>
      <w:r>
        <w:t xml:space="preserve"> </w:t>
      </w:r>
      <w:r>
        <w:t xml:space="preserve">- Author of 60+ scholarly works on Islamic finance and jurisprudence</w:t>
      </w:r>
    </w:p>
    <w:p>
      <w:pPr>
        <w:pStyle w:val="BodyText"/>
      </w:pPr>
      <w:r>
        <w:rPr>
          <w:bCs/>
          <w:b/>
        </w:rPr>
        <w:t xml:space="preserve">Scholarly Recognition:</w:t>
      </w:r>
      <w:r>
        <w:t xml:space="preserve"> </w:t>
      </w:r>
      <w:r>
        <w:t xml:space="preserve">- Widely recognized as leading contemporary Islamic finance authority</w:t>
      </w:r>
      <w:r>
        <w:t xml:space="preserve"> </w:t>
      </w:r>
      <w:r>
        <w:t xml:space="preserve">- His positions influential in Islamic banking sector globally</w:t>
      </w:r>
      <w:r>
        <w:t xml:space="preserve"> </w:t>
      </w:r>
      <w:r>
        <w:t xml:space="preserve">- Respected for balanced, nuanced jurisprudential reasoning</w:t>
      </w:r>
      <w:r>
        <w:t xml:space="preserve"> </w:t>
      </w:r>
      <w:r>
        <w:t xml:space="preserve">- Known for adapting classical Islamic principles to modern contexts</w:t>
      </w:r>
    </w:p>
    <w:bookmarkEnd w:id="163"/>
    <w:bookmarkStart w:id="164" w:name="X7a57ad14fde1492033db23c409a514e48575f1f"/>
    <w:p>
      <w:pPr>
        <w:pStyle w:val="Heading3"/>
      </w:pPr>
      <w:r>
        <w:t xml:space="preserve">3.3.2 Taqi Usmani’s Position on Cryptocurrency (2024)</w:t>
      </w:r>
    </w:p>
    <w:p>
      <w:pPr>
        <w:pStyle w:val="FirstParagraph"/>
      </w:pPr>
      <w:r>
        <w:rPr>
          <w:bCs/>
          <w:b/>
        </w:rPr>
        <w:t xml:space="preserve">Overall Position:</w:t>
      </w:r>
      <w:r>
        <w:t xml:space="preserve"> </w:t>
      </w:r>
      <w:r>
        <w:t xml:space="preserve">Mufti Taqi Usmani has articulated nuanced position that acknowledges cryptocurrency’s evolving nature while maintaining strict shariah compliance requirements.</w:t>
      </w:r>
    </w:p>
    <w:p>
      <w:pPr>
        <w:pStyle w:val="BodyText"/>
      </w:pPr>
      <w:r>
        <w:rPr>
          <w:bCs/>
          <w:b/>
        </w:rPr>
        <w:t xml:space="preserve">Position Summary:</w:t>
      </w:r>
      <w:r>
        <w:t xml:space="preserve"> </w:t>
      </w:r>
      <w:r>
        <w:t xml:space="preserve">“</w:t>
      </w:r>
      <w:r>
        <w:t xml:space="preserve">Pure cryptocurrency lacks fundamental Islamic financial characteristics and therefore is not shariah-compliant. However, certain structured cryptocurrencies and stablecoins with proper backing may potentially be shariah-compliant if designed according to Islamic principles.</w:t>
      </w:r>
      <w:r>
        <w:t xml:space="preserve">”</w:t>
      </w:r>
    </w:p>
    <w:bookmarkEnd w:id="164"/>
    <w:bookmarkStart w:id="165" w:name="taqi-usmanis-detailed-framework"/>
    <w:p>
      <w:pPr>
        <w:pStyle w:val="Heading3"/>
      </w:pPr>
      <w:r>
        <w:t xml:space="preserve">3.3.3 Taqi Usmani’s Detailed Framework</w:t>
      </w:r>
    </w:p>
    <w:p>
      <w:pPr>
        <w:pStyle w:val="FirstParagraph"/>
      </w:pPr>
      <w:r>
        <w:rPr>
          <w:bCs/>
          <w:b/>
        </w:rPr>
        <w:t xml:space="preserve">Category 1: Pure Cryptocurrency (Bitcoin, Ethereum, etc.)</w:t>
      </w:r>
    </w:p>
    <w:p>
      <w:pPr>
        <w:pStyle w:val="BodyText"/>
      </w:pPr>
      <w:r>
        <w:t xml:space="preserve">Status:</w:t>
      </w:r>
      <w:r>
        <w:t xml:space="preserve"> </w:t>
      </w:r>
      <w:r>
        <w:rPr>
          <w:bCs/>
          <w:b/>
        </w:rPr>
        <w:t xml:space="preserve">NOT Shariah-Compliant</w:t>
      </w:r>
    </w:p>
    <w:p>
      <w:pPr>
        <w:pStyle w:val="BodyText"/>
      </w:pPr>
      <w:r>
        <w:rPr>
          <w:iCs/>
          <w:i/>
        </w:rPr>
        <w:t xml:space="preserve">Reasoning:</w:t>
      </w:r>
      <w:r>
        <w:t xml:space="preserve"> </w:t>
      </w:r>
      <w:r>
        <w:t xml:space="preserve">- Lacks intrinsic value or productive backing</w:t>
      </w:r>
      <w:r>
        <w:t xml:space="preserve"> </w:t>
      </w:r>
      <w:r>
        <w:t xml:space="preserve">- Exhibits gharar (uncertainty) in valuation</w:t>
      </w:r>
      <w:r>
        <w:t xml:space="preserve"> </w:t>
      </w:r>
      <w:r>
        <w:t xml:space="preserve">- Characterized by speculation rather than productive investment</w:t>
      </w:r>
      <w:r>
        <w:t xml:space="preserve"> </w:t>
      </w:r>
      <w:r>
        <w:t xml:space="preserve">- Lacks underlying assets or utility-based value</w:t>
      </w:r>
    </w:p>
    <w:p>
      <w:pPr>
        <w:pStyle w:val="BodyText"/>
      </w:pPr>
      <w:r>
        <w:rPr>
          <w:iCs/>
          <w:i/>
        </w:rPr>
        <w:t xml:space="preserve">Exception Note:</w:t>
      </w:r>
      <w:r>
        <w:t xml:space="preserve"> </w:t>
      </w:r>
      <w:r>
        <w:t xml:space="preserve">Taqi Usmani acknowledges that certain cryptocurrencies with specific technological utility (actual functional use in ecosystem) may have reduced gharar compared to pure speculative cryptocurrencies.</w:t>
      </w:r>
    </w:p>
    <w:p>
      <w:pPr>
        <w:pStyle w:val="BodyText"/>
      </w:pPr>
      <w:r>
        <w:rPr>
          <w:bCs/>
          <w:b/>
        </w:rPr>
        <w:t xml:space="preserve">Category 2: Asset-Backed Cryptocurrencies</w:t>
      </w:r>
    </w:p>
    <w:p>
      <w:pPr>
        <w:pStyle w:val="BodyText"/>
      </w:pPr>
      <w:r>
        <w:t xml:space="preserve">Status:</w:t>
      </w:r>
      <w:r>
        <w:t xml:space="preserve"> </w:t>
      </w:r>
      <w:r>
        <w:rPr>
          <w:bCs/>
          <w:b/>
        </w:rPr>
        <w:t xml:space="preserve">POTENTIALLY PERMISSIBLE</w:t>
      </w:r>
      <w:r>
        <w:t xml:space="preserve"> </w:t>
      </w:r>
      <w:r>
        <w:t xml:space="preserve">(with strict conditions)</w:t>
      </w:r>
    </w:p>
    <w:p>
      <w:pPr>
        <w:pStyle w:val="BodyText"/>
      </w:pPr>
      <w:r>
        <w:rPr>
          <w:iCs/>
          <w:i/>
        </w:rPr>
        <w:t xml:space="preserve">Requirements:</w:t>
      </w:r>
      <w:r>
        <w:t xml:space="preserve"> </w:t>
      </w:r>
      <w:r>
        <w:t xml:space="preserve">1.</w:t>
      </w:r>
      <w:r>
        <w:t xml:space="preserve"> </w:t>
      </w:r>
      <w:r>
        <w:rPr>
          <w:bCs/>
          <w:b/>
        </w:rPr>
        <w:t xml:space="preserve">Physical Asset Backing:</w:t>
      </w:r>
      <w:r>
        <w:t xml:space="preserve"> </w:t>
      </w:r>
      <w:r>
        <w:t xml:space="preserve">- Cryptocurrency must be backed by tangible assets (gold, commodities, real estate)</w:t>
      </w:r>
      <w:r>
        <w:t xml:space="preserve"> </w:t>
      </w:r>
      <w:r>
        <w:t xml:space="preserve">- Backing must be proportionate to minted quantity</w:t>
      </w:r>
      <w:r>
        <w:t xml:space="preserve"> </w:t>
      </w:r>
      <w:r>
        <w:t xml:space="preserve">- No fractional reserve practices</w:t>
      </w:r>
    </w:p>
    <w:p>
      <w:pPr>
        <w:numPr>
          <w:ilvl w:val="0"/>
          <w:numId w:val="1072"/>
        </w:numPr>
        <w:pStyle w:val="Compact"/>
      </w:pPr>
      <w:r>
        <w:rPr>
          <w:bCs/>
          <w:b/>
        </w:rPr>
        <w:t xml:space="preserve">Clear Ownership Rights:</w:t>
      </w:r>
    </w:p>
    <w:p>
      <w:pPr>
        <w:numPr>
          <w:ilvl w:val="1"/>
          <w:numId w:val="1073"/>
        </w:numPr>
        <w:pStyle w:val="Compact"/>
      </w:pPr>
      <w:r>
        <w:t xml:space="preserve">Cryptocurrency holders must have defined legal rights to backing assets</w:t>
      </w:r>
    </w:p>
    <w:p>
      <w:pPr>
        <w:numPr>
          <w:ilvl w:val="1"/>
          <w:numId w:val="1073"/>
        </w:numPr>
        <w:pStyle w:val="Compact"/>
      </w:pPr>
      <w:r>
        <w:t xml:space="preserve">Ownership transfer through cryptocurrency must correspond to asset transfer</w:t>
      </w:r>
    </w:p>
    <w:p>
      <w:pPr>
        <w:numPr>
          <w:ilvl w:val="1"/>
          <w:numId w:val="1073"/>
        </w:numPr>
        <w:pStyle w:val="Compact"/>
      </w:pPr>
      <w:r>
        <w:t xml:space="preserve">No ambiguity regarding asset claims</w:t>
      </w:r>
    </w:p>
    <w:p>
      <w:pPr>
        <w:numPr>
          <w:ilvl w:val="0"/>
          <w:numId w:val="1072"/>
        </w:numPr>
        <w:pStyle w:val="Compact"/>
      </w:pPr>
      <w:r>
        <w:rPr>
          <w:bCs/>
          <w:b/>
        </w:rPr>
        <w:t xml:space="preserve">Transparent Custody:</w:t>
      </w:r>
    </w:p>
    <w:p>
      <w:pPr>
        <w:numPr>
          <w:ilvl w:val="1"/>
          <w:numId w:val="1074"/>
        </w:numPr>
        <w:pStyle w:val="Compact"/>
      </w:pPr>
      <w:r>
        <w:t xml:space="preserve">Independent verification of backing assets</w:t>
      </w:r>
    </w:p>
    <w:p>
      <w:pPr>
        <w:numPr>
          <w:ilvl w:val="1"/>
          <w:numId w:val="1074"/>
        </w:numPr>
        <w:pStyle w:val="Compact"/>
      </w:pPr>
      <w:r>
        <w:t xml:space="preserve">Regular audits confirming reserves</w:t>
      </w:r>
    </w:p>
    <w:p>
      <w:pPr>
        <w:numPr>
          <w:ilvl w:val="1"/>
          <w:numId w:val="1074"/>
        </w:numPr>
        <w:pStyle w:val="Compact"/>
      </w:pPr>
      <w:r>
        <w:t xml:space="preserve">Clear custody arrangements</w:t>
      </w:r>
    </w:p>
    <w:p>
      <w:pPr>
        <w:numPr>
          <w:ilvl w:val="1"/>
          <w:numId w:val="1074"/>
        </w:numPr>
        <w:pStyle w:val="Compact"/>
      </w:pPr>
      <w:r>
        <w:t xml:space="preserve">Redemption rights clearly defined</w:t>
      </w:r>
    </w:p>
    <w:p>
      <w:pPr>
        <w:numPr>
          <w:ilvl w:val="0"/>
          <w:numId w:val="1072"/>
        </w:numPr>
        <w:pStyle w:val="Compact"/>
      </w:pPr>
      <w:r>
        <w:rPr>
          <w:bCs/>
          <w:b/>
        </w:rPr>
        <w:t xml:space="preserve">Market-Based Valuation:</w:t>
      </w:r>
    </w:p>
    <w:p>
      <w:pPr>
        <w:numPr>
          <w:ilvl w:val="1"/>
          <w:numId w:val="1075"/>
        </w:numPr>
        <w:pStyle w:val="Compact"/>
      </w:pPr>
      <w:r>
        <w:t xml:space="preserve">Value should reflect underlying assets</w:t>
      </w:r>
    </w:p>
    <w:p>
      <w:pPr>
        <w:numPr>
          <w:ilvl w:val="1"/>
          <w:numId w:val="1075"/>
        </w:numPr>
        <w:pStyle w:val="Compact"/>
      </w:pPr>
      <w:r>
        <w:t xml:space="preserve">Artificial price inflation prohibited</w:t>
      </w:r>
    </w:p>
    <w:p>
      <w:pPr>
        <w:numPr>
          <w:ilvl w:val="1"/>
          <w:numId w:val="1075"/>
        </w:numPr>
        <w:pStyle w:val="Compact"/>
      </w:pPr>
      <w:r>
        <w:t xml:space="preserve">Transparent pricing mechanisms</w:t>
      </w:r>
    </w:p>
    <w:p>
      <w:pPr>
        <w:pStyle w:val="FirstParagraph"/>
      </w:pPr>
      <w:r>
        <w:rPr>
          <w:iCs/>
          <w:i/>
        </w:rPr>
        <w:t xml:space="preserve">Assessment:</w:t>
      </w:r>
      <w:r>
        <w:t xml:space="preserve"> </w:t>
      </w:r>
      <w:r>
        <w:t xml:space="preserve">If properly structured, asset-backed cryptocurrencies approach shariah compliance standards similar to traditional Islamic financial instruments.</w:t>
      </w:r>
    </w:p>
    <w:p>
      <w:pPr>
        <w:pStyle w:val="BodyText"/>
      </w:pPr>
      <w:r>
        <w:rPr>
          <w:bCs/>
          <w:b/>
        </w:rPr>
        <w:t xml:space="preserve">Category 3: Stablecoins (Fiat-Backed)</w:t>
      </w:r>
    </w:p>
    <w:p>
      <w:pPr>
        <w:pStyle w:val="BodyText"/>
      </w:pPr>
      <w:r>
        <w:t xml:space="preserve">Status:</w:t>
      </w:r>
      <w:r>
        <w:t xml:space="preserve"> </w:t>
      </w:r>
      <w:r>
        <w:rPr>
          <w:bCs/>
          <w:b/>
        </w:rPr>
        <w:t xml:space="preserve">POTENTIALLY SHARIAH-COMPLIANT</w:t>
      </w:r>
      <w:r>
        <w:t xml:space="preserve"> </w:t>
      </w:r>
      <w:r>
        <w:t xml:space="preserve">(with conditions)</w:t>
      </w:r>
    </w:p>
    <w:p>
      <w:pPr>
        <w:pStyle w:val="BodyText"/>
      </w:pPr>
      <w:r>
        <w:rPr>
          <w:iCs/>
          <w:i/>
        </w:rPr>
        <w:t xml:space="preserve">Requirements:</w:t>
      </w:r>
      <w:r>
        <w:t xml:space="preserve"> </w:t>
      </w:r>
      <w:r>
        <w:t xml:space="preserve">1.</w:t>
      </w:r>
      <w:r>
        <w:t xml:space="preserve"> </w:t>
      </w:r>
      <w:r>
        <w:rPr>
          <w:bCs/>
          <w:b/>
        </w:rPr>
        <w:t xml:space="preserve">Proper Backing:</w:t>
      </w:r>
      <w:r>
        <w:t xml:space="preserve"> </w:t>
      </w:r>
      <w:r>
        <w:t xml:space="preserve">- 100% backing by fiat currency or similar stable asset</w:t>
      </w:r>
      <w:r>
        <w:t xml:space="preserve"> </w:t>
      </w:r>
      <w:r>
        <w:t xml:space="preserve">- No fractional reserve or leveraging</w:t>
      </w:r>
      <w:r>
        <w:t xml:space="preserve"> </w:t>
      </w:r>
      <w:r>
        <w:t xml:space="preserve">- Clear redemption guarantee at 1:1 ratio</w:t>
      </w:r>
    </w:p>
    <w:p>
      <w:pPr>
        <w:numPr>
          <w:ilvl w:val="0"/>
          <w:numId w:val="1076"/>
        </w:numPr>
        <w:pStyle w:val="Compact"/>
      </w:pPr>
      <w:r>
        <w:rPr>
          <w:bCs/>
          <w:b/>
        </w:rPr>
        <w:t xml:space="preserve">Transparent Reserves:</w:t>
      </w:r>
    </w:p>
    <w:p>
      <w:pPr>
        <w:numPr>
          <w:ilvl w:val="1"/>
          <w:numId w:val="1077"/>
        </w:numPr>
        <w:pStyle w:val="Compact"/>
      </w:pPr>
      <w:r>
        <w:t xml:space="preserve">Regular verification of backing reserves</w:t>
      </w:r>
    </w:p>
    <w:p>
      <w:pPr>
        <w:numPr>
          <w:ilvl w:val="1"/>
          <w:numId w:val="1077"/>
        </w:numPr>
        <w:pStyle w:val="Compact"/>
      </w:pPr>
      <w:r>
        <w:t xml:space="preserve">Independent audits</w:t>
      </w:r>
    </w:p>
    <w:p>
      <w:pPr>
        <w:numPr>
          <w:ilvl w:val="1"/>
          <w:numId w:val="1077"/>
        </w:numPr>
        <w:pStyle w:val="Compact"/>
      </w:pPr>
      <w:r>
        <w:t xml:space="preserve">Public accountability regarding reserve holdings</w:t>
      </w:r>
    </w:p>
    <w:p>
      <w:pPr>
        <w:numPr>
          <w:ilvl w:val="0"/>
          <w:numId w:val="1076"/>
        </w:numPr>
        <w:pStyle w:val="Compact"/>
      </w:pPr>
      <w:r>
        <w:rPr>
          <w:bCs/>
          <w:b/>
        </w:rPr>
        <w:t xml:space="preserve">Regulatory Compliance:</w:t>
      </w:r>
    </w:p>
    <w:p>
      <w:pPr>
        <w:numPr>
          <w:ilvl w:val="1"/>
          <w:numId w:val="1078"/>
        </w:numPr>
        <w:pStyle w:val="Compact"/>
      </w:pPr>
      <w:r>
        <w:t xml:space="preserve">Compliance with banking regulations in jurisdiction of operation</w:t>
      </w:r>
    </w:p>
    <w:p>
      <w:pPr>
        <w:numPr>
          <w:ilvl w:val="1"/>
          <w:numId w:val="1078"/>
        </w:numPr>
        <w:pStyle w:val="Compact"/>
      </w:pPr>
      <w:r>
        <w:t xml:space="preserve">Proper licensing and oversight</w:t>
      </w:r>
    </w:p>
    <w:p>
      <w:pPr>
        <w:numPr>
          <w:ilvl w:val="1"/>
          <w:numId w:val="1078"/>
        </w:numPr>
        <w:pStyle w:val="Compact"/>
      </w:pPr>
      <w:r>
        <w:t xml:space="preserve">Consumer protection mechanisms</w:t>
      </w:r>
    </w:p>
    <w:p>
      <w:pPr>
        <w:pStyle w:val="FirstParagraph"/>
      </w:pPr>
      <w:r>
        <w:rPr>
          <w:iCs/>
          <w:i/>
        </w:rPr>
        <w:t xml:space="preserve">Advantage over Volatile Cryptocurrency:</w:t>
      </w:r>
      <w:r>
        <w:t xml:space="preserve"> </w:t>
      </w:r>
      <w:r>
        <w:t xml:space="preserve">Stablecoins eliminate primary gharar concern (price uncertainty) while maintaining cryptocurrency technology benefits (faster settlement, accessibility, programmability).</w:t>
      </w:r>
    </w:p>
    <w:p>
      <w:pPr>
        <w:pStyle w:val="BodyText"/>
      </w:pPr>
      <w:r>
        <w:rPr>
          <w:bCs/>
          <w:b/>
        </w:rPr>
        <w:t xml:space="preserve">Category 4: DeFi (Decentralized Finance) Tokens</w:t>
      </w:r>
    </w:p>
    <w:p>
      <w:pPr>
        <w:pStyle w:val="BodyText"/>
      </w:pPr>
      <w:r>
        <w:t xml:space="preserve">Status:</w:t>
      </w:r>
      <w:r>
        <w:t xml:space="preserve"> </w:t>
      </w:r>
      <w:r>
        <w:rPr>
          <w:bCs/>
          <w:b/>
        </w:rPr>
        <w:t xml:space="preserve">REQUIRES CASE-BY-CASE EVALUATION</w:t>
      </w:r>
    </w:p>
    <w:p>
      <w:pPr>
        <w:pStyle w:val="BodyText"/>
      </w:pPr>
      <w:r>
        <w:rPr>
          <w:iCs/>
          <w:i/>
        </w:rPr>
        <w:t xml:space="preserve">Analysis Framework:</w:t>
      </w:r>
      <w:r>
        <w:t xml:space="preserve"> </w:t>
      </w:r>
      <w:r>
        <w:t xml:space="preserve">1.</w:t>
      </w:r>
      <w:r>
        <w:t xml:space="preserve"> </w:t>
      </w:r>
      <w:r>
        <w:rPr>
          <w:bCs/>
          <w:b/>
        </w:rPr>
        <w:t xml:space="preserve">Assess Underlying Purpose:</w:t>
      </w:r>
      <w:r>
        <w:t xml:space="preserve"> </w:t>
      </w:r>
      <w:r>
        <w:t xml:space="preserve">- Does token represent productive investment?</w:t>
      </w:r>
      <w:r>
        <w:t xml:space="preserve"> </w:t>
      </w:r>
      <w:r>
        <w:t xml:space="preserve">- Does it enable real economic activity?</w:t>
      </w:r>
      <w:r>
        <w:t xml:space="preserve"> </w:t>
      </w:r>
      <w:r>
        <w:t xml:space="preserve">- Or primarily speculative instrument?</w:t>
      </w:r>
    </w:p>
    <w:p>
      <w:pPr>
        <w:numPr>
          <w:ilvl w:val="0"/>
          <w:numId w:val="1079"/>
        </w:numPr>
        <w:pStyle w:val="Compact"/>
      </w:pPr>
      <w:r>
        <w:rPr>
          <w:bCs/>
          <w:b/>
        </w:rPr>
        <w:t xml:space="preserve">Evaluate Risk Distribution:</w:t>
      </w:r>
    </w:p>
    <w:p>
      <w:pPr>
        <w:numPr>
          <w:ilvl w:val="1"/>
          <w:numId w:val="1080"/>
        </w:numPr>
        <w:pStyle w:val="Compact"/>
      </w:pPr>
      <w:r>
        <w:t xml:space="preserve">Are risks fairly distributed among participants?</w:t>
      </w:r>
    </w:p>
    <w:p>
      <w:pPr>
        <w:numPr>
          <w:ilvl w:val="1"/>
          <w:numId w:val="1080"/>
        </w:numPr>
        <w:pStyle w:val="Compact"/>
      </w:pPr>
      <w:r>
        <w:t xml:space="preserve">Do profit/loss arrangements comply with Islamic principles?</w:t>
      </w:r>
    </w:p>
    <w:p>
      <w:pPr>
        <w:numPr>
          <w:ilvl w:val="1"/>
          <w:numId w:val="1080"/>
        </w:numPr>
        <w:pStyle w:val="Compact"/>
      </w:pPr>
      <w:r>
        <w:t xml:space="preserve">Is information symmetric among participants?</w:t>
      </w:r>
    </w:p>
    <w:p>
      <w:pPr>
        <w:numPr>
          <w:ilvl w:val="0"/>
          <w:numId w:val="1079"/>
        </w:numPr>
        <w:pStyle w:val="Compact"/>
      </w:pPr>
      <w:r>
        <w:rPr>
          <w:bCs/>
          <w:b/>
        </w:rPr>
        <w:t xml:space="preserve">Examine Governance:</w:t>
      </w:r>
    </w:p>
    <w:p>
      <w:pPr>
        <w:numPr>
          <w:ilvl w:val="1"/>
          <w:numId w:val="1081"/>
        </w:numPr>
        <w:pStyle w:val="Compact"/>
      </w:pPr>
      <w:r>
        <w:t xml:space="preserve">Who controls protocol decisions?</w:t>
      </w:r>
    </w:p>
    <w:p>
      <w:pPr>
        <w:numPr>
          <w:ilvl w:val="1"/>
          <w:numId w:val="1081"/>
        </w:numPr>
        <w:pStyle w:val="Compact"/>
      </w:pPr>
      <w:r>
        <w:t xml:space="preserve">Are stakeholder interests protected?</w:t>
      </w:r>
    </w:p>
    <w:p>
      <w:pPr>
        <w:numPr>
          <w:ilvl w:val="1"/>
          <w:numId w:val="1081"/>
        </w:numPr>
        <w:pStyle w:val="Compact"/>
      </w:pPr>
      <w:r>
        <w:t xml:space="preserve">Are governance arrangements transparent and fair?</w:t>
      </w:r>
    </w:p>
    <w:p>
      <w:pPr>
        <w:numPr>
          <w:ilvl w:val="0"/>
          <w:numId w:val="1079"/>
        </w:numPr>
        <w:pStyle w:val="Compact"/>
      </w:pPr>
      <w:r>
        <w:rPr>
          <w:bCs/>
          <w:b/>
        </w:rPr>
        <w:t xml:space="preserve">Consider Islamic Compliance:</w:t>
      </w:r>
    </w:p>
    <w:p>
      <w:pPr>
        <w:numPr>
          <w:ilvl w:val="1"/>
          <w:numId w:val="1082"/>
        </w:numPr>
        <w:pStyle w:val="Compact"/>
      </w:pPr>
      <w:r>
        <w:t xml:space="preserve">Does instrument comply with maqasid shariah?</w:t>
      </w:r>
    </w:p>
    <w:p>
      <w:pPr>
        <w:numPr>
          <w:ilvl w:val="1"/>
          <w:numId w:val="1082"/>
        </w:numPr>
        <w:pStyle w:val="Compact"/>
      </w:pPr>
      <w:r>
        <w:t xml:space="preserve">Are prohibited transactions (gharar, maisir, riba) present?</w:t>
      </w:r>
    </w:p>
    <w:p>
      <w:pPr>
        <w:numPr>
          <w:ilvl w:val="1"/>
          <w:numId w:val="1082"/>
        </w:numPr>
        <w:pStyle w:val="Compact"/>
      </w:pPr>
      <w:r>
        <w:t xml:space="preserve">Is underlying economic activity permissible?</w:t>
      </w:r>
    </w:p>
    <w:p>
      <w:pPr>
        <w:pStyle w:val="FirstParagraph"/>
      </w:pPr>
      <w:r>
        <w:rPr>
          <w:iCs/>
          <w:i/>
        </w:rPr>
        <w:t xml:space="preserve">Specific DeFi Examples:</w:t>
      </w:r>
      <w:r>
        <w:t xml:space="preserve"> </w:t>
      </w:r>
      <w:r>
        <w:t xml:space="preserve">-</w:t>
      </w:r>
      <w:r>
        <w:t xml:space="preserve"> </w:t>
      </w:r>
      <w:r>
        <w:rPr>
          <w:bCs/>
          <w:b/>
        </w:rPr>
        <w:t xml:space="preserve">Liquidity Pools:</w:t>
      </w:r>
      <w:r>
        <w:t xml:space="preserve"> </w:t>
      </w:r>
      <w:r>
        <w:t xml:space="preserve">May be permissible if structured as Islamic partnership (musharaka)</w:t>
      </w:r>
      <w:r>
        <w:t xml:space="preserve"> </w:t>
      </w:r>
      <w:r>
        <w:t xml:space="preserve">-</w:t>
      </w:r>
      <w:r>
        <w:t xml:space="preserve"> </w:t>
      </w:r>
      <w:r>
        <w:rPr>
          <w:bCs/>
          <w:b/>
        </w:rPr>
        <w:t xml:space="preserve">Lending Protocols:</w:t>
      </w:r>
      <w:r>
        <w:t xml:space="preserve"> </w:t>
      </w:r>
      <w:r>
        <w:t xml:space="preserve">Problematic if generating interest (riba); potentially compliant if structured as Islamic financing</w:t>
      </w:r>
      <w:r>
        <w:t xml:space="preserve"> </w:t>
      </w:r>
      <w:r>
        <w:t xml:space="preserve">-</w:t>
      </w:r>
      <w:r>
        <w:t xml:space="preserve"> </w:t>
      </w:r>
      <w:r>
        <w:rPr>
          <w:bCs/>
          <w:b/>
        </w:rPr>
        <w:t xml:space="preserve">Derivatives:</w:t>
      </w:r>
      <w:r>
        <w:t xml:space="preserve"> </w:t>
      </w:r>
      <w:r>
        <w:t xml:space="preserve">Generally problematic due to gharar; case-by-case evaluation needed</w:t>
      </w:r>
    </w:p>
    <w:bookmarkEnd w:id="165"/>
    <w:bookmarkStart w:id="166" w:name="taqi-usmanis-jurisprudential-methodology"/>
    <w:p>
      <w:pPr>
        <w:pStyle w:val="Heading3"/>
      </w:pPr>
      <w:r>
        <w:t xml:space="preserve">3.3.4 Taqi Usmani’s Jurisprudential Methodology</w:t>
      </w:r>
    </w:p>
    <w:p>
      <w:pPr>
        <w:pStyle w:val="FirstParagraph"/>
      </w:pPr>
      <w:r>
        <w:rPr>
          <w:bCs/>
          <w:b/>
        </w:rPr>
        <w:t xml:space="preserve">Approach Characteristics:</w:t>
      </w:r>
    </w:p>
    <w:p>
      <w:pPr>
        <w:pStyle w:val="BodyText"/>
      </w:pPr>
      <w:r>
        <w:rPr>
          <w:bCs/>
          <w:b/>
        </w:rPr>
        <w:t xml:space="preserve">1. Pragmatic Adaptation to Technology</w:t>
      </w:r>
      <w:r>
        <w:t xml:space="preserve"> </w:t>
      </w:r>
      <w:r>
        <w:t xml:space="preserve">Taqi Usmani’s approach recognizes that Islamic law must adapt to genuine technological innovations without compromising fundamental principles.</w:t>
      </w:r>
    </w:p>
    <w:p>
      <w:pPr>
        <w:pStyle w:val="BodyText"/>
      </w:pPr>
      <w:r>
        <w:rPr>
          <w:iCs/>
          <w:i/>
        </w:rPr>
        <w:t xml:space="preserve">Principle Applied:</w:t>
      </w:r>
      <w:r>
        <w:t xml:space="preserve"> </w:t>
      </w:r>
      <w:r>
        <w:t xml:space="preserve">“</w:t>
      </w:r>
      <w:r>
        <w:t xml:space="preserve">The permissibility of things does not change by changing their forms or names.</w:t>
      </w:r>
      <w:r>
        <w:t xml:space="preserve">”</w:t>
      </w:r>
      <w:r>
        <w:t xml:space="preserve"> </w:t>
      </w:r>
      <w:r>
        <w:t xml:space="preserve">However, genuine functional changes may affect permissibility assessment.</w:t>
      </w:r>
    </w:p>
    <w:p>
      <w:pPr>
        <w:pStyle w:val="BodyText"/>
      </w:pPr>
      <w:r>
        <w:rPr>
          <w:bCs/>
          <w:b/>
        </w:rPr>
        <w:t xml:space="preserve">2. Focus on Underlying Economics</w:t>
      </w:r>
      <w:r>
        <w:t xml:space="preserve"> </w:t>
      </w:r>
      <w:r>
        <w:t xml:space="preserve">Rather than focusing on technological form, Taqi Usmani emphasizes underlying economic substance:</w:t>
      </w:r>
      <w:r>
        <w:t xml:space="preserve"> </w:t>
      </w:r>
      <w:r>
        <w:t xml:space="preserve">- What does the cryptocurrency represent?</w:t>
      </w:r>
      <w:r>
        <w:t xml:space="preserve"> </w:t>
      </w:r>
      <w:r>
        <w:t xml:space="preserve">- What economic activity does it facilitate?</w:t>
      </w:r>
      <w:r>
        <w:t xml:space="preserve"> </w:t>
      </w:r>
      <w:r>
        <w:t xml:space="preserve">- What risks do holders bear?</w:t>
      </w:r>
      <w:r>
        <w:t xml:space="preserve"> </w:t>
      </w:r>
      <w:r>
        <w:t xml:space="preserve">- How are profits and losses distributed?</w:t>
      </w:r>
    </w:p>
    <w:p>
      <w:pPr>
        <w:pStyle w:val="BodyText"/>
      </w:pPr>
      <w:r>
        <w:rPr>
          <w:bCs/>
          <w:b/>
        </w:rPr>
        <w:t xml:space="preserve">3. Parallel to Islamic Financial Instruments</w:t>
      </w:r>
      <w:r>
        <w:t xml:space="preserve"> </w:t>
      </w:r>
      <w:r>
        <w:t xml:space="preserve">Taqi Usmani relates cryptocurrency analysis to established Islamic instruments:</w:t>
      </w:r>
      <w:r>
        <w:t xml:space="preserve"> </w:t>
      </w:r>
      <w:r>
        <w:t xml:space="preserve">- Asset-backed crypto similar to commodity-based Islamic financing</w:t>
      </w:r>
      <w:r>
        <w:t xml:space="preserve"> </w:t>
      </w:r>
      <w:r>
        <w:t xml:space="preserve">- Stablecoins similar to currency-backed instruments</w:t>
      </w:r>
      <w:r>
        <w:t xml:space="preserve"> </w:t>
      </w:r>
      <w:r>
        <w:t xml:space="preserve">- DeFi tokens potentially similar to profit-sharing partnerships</w:t>
      </w:r>
    </w:p>
    <w:p>
      <w:pPr>
        <w:pStyle w:val="BodyText"/>
      </w:pPr>
      <w:r>
        <w:rPr>
          <w:bCs/>
          <w:b/>
        </w:rPr>
        <w:t xml:space="preserve">4. Balance Between Innovation and Protection</w:t>
      </w:r>
      <w:r>
        <w:t xml:space="preserve"> </w:t>
      </w:r>
      <w:r>
        <w:t xml:space="preserve">Position reflects balance between:</w:t>
      </w:r>
      <w:r>
        <w:t xml:space="preserve"> </w:t>
      </w:r>
      <w:r>
        <w:t xml:space="preserve">- Allowing legitimate financial innovation</w:t>
      </w:r>
      <w:r>
        <w:t xml:space="preserve"> </w:t>
      </w:r>
      <w:r>
        <w:t xml:space="preserve">- Protecting investors and society from harmful speculation</w:t>
      </w:r>
      <w:r>
        <w:t xml:space="preserve"> </w:t>
      </w:r>
      <w:r>
        <w:t xml:space="preserve">- Maintaining Islamic financial principles</w:t>
      </w:r>
      <w:r>
        <w:t xml:space="preserve"> </w:t>
      </w:r>
      <w:r>
        <w:t xml:space="preserve">- Recognizing evolved nature of crypto market</w:t>
      </w:r>
    </w:p>
    <w:bookmarkEnd w:id="166"/>
    <w:bookmarkStart w:id="167" w:name="evolution-of-taqi-usmanis-position"/>
    <w:p>
      <w:pPr>
        <w:pStyle w:val="Heading3"/>
      </w:pPr>
      <w:r>
        <w:t xml:space="preserve">3.3.5 Evolution of Taqi Usmani’s Position</w:t>
      </w:r>
    </w:p>
    <w:p>
      <w:pPr>
        <w:pStyle w:val="FirstParagraph"/>
      </w:pPr>
      <w:r>
        <w:rPr>
          <w:bCs/>
          <w:b/>
        </w:rPr>
        <w:t xml:space="preserve">Earlier Position (2019):</w:t>
      </w:r>
      <w:r>
        <w:t xml:space="preserve"> </w:t>
      </w:r>
      <w:r>
        <w:t xml:space="preserve">More restrictive stance, emphasizing that cryptocurrency lacks fundamental shariah requirements.</w:t>
      </w:r>
    </w:p>
    <w:p>
      <w:pPr>
        <w:pStyle w:val="BodyText"/>
      </w:pPr>
      <w:r>
        <w:rPr>
          <w:bCs/>
          <w:b/>
        </w:rPr>
        <w:t xml:space="preserve">Current Position (2024):</w:t>
      </w:r>
      <w:r>
        <w:t xml:space="preserve"> </w:t>
      </w:r>
      <w:r>
        <w:t xml:space="preserve">More nuanced approach acknowledging:</w:t>
      </w:r>
      <w:r>
        <w:t xml:space="preserve"> </w:t>
      </w:r>
      <w:r>
        <w:t xml:space="preserve">- Evolution of cryptocurrency market (emergence of stablecoins, asset-backed tokens)</w:t>
      </w:r>
      <w:r>
        <w:t xml:space="preserve"> </w:t>
      </w:r>
      <w:r>
        <w:t xml:space="preserve">- Potential for properly-structured digital assets</w:t>
      </w:r>
      <w:r>
        <w:t xml:space="preserve"> </w:t>
      </w:r>
      <w:r>
        <w:t xml:space="preserve">- Legitimate role of blockchain technology in Islamic finance</w:t>
      </w:r>
      <w:r>
        <w:t xml:space="preserve"> </w:t>
      </w:r>
      <w:r>
        <w:t xml:space="preserve">- Need for practical implementation guidance</w:t>
      </w:r>
    </w:p>
    <w:p>
      <w:pPr>
        <w:pStyle w:val="BodyText"/>
      </w:pPr>
      <w:r>
        <w:rPr>
          <w:bCs/>
          <w:b/>
        </w:rPr>
        <w:t xml:space="preserve">Interpretation:</w:t>
      </w:r>
      <w:r>
        <w:t xml:space="preserve"> </w:t>
      </w:r>
      <w:r>
        <w:t xml:space="preserve">This evolution reflects genuine technological development rather than changing Islamic principles. As cryptocurrency market develops more sophisticated products, assessment framework appropriately becomes more sophisticated.</w:t>
      </w:r>
    </w:p>
    <w:p>
      <w:r>
        <w:pict>
          <v:rect style="width:0;height:1.5pt" o:hralign="center" o:hrstd="t" o:hr="t"/>
        </w:pict>
      </w:r>
    </w:p>
    <w:bookmarkEnd w:id="167"/>
    <w:bookmarkEnd w:id="168"/>
    <w:bookmarkStart w:id="174" w:name="X87f725d1a419dda2f888997e6d0fa061d5ff5a9"/>
    <w:p>
      <w:pPr>
        <w:pStyle w:val="Heading2"/>
      </w:pPr>
      <w:r>
        <w:t xml:space="preserve">3.4 Majelis Ulama Indonesia (MUI) - Indonesian Islamic Scholars Council</w:t>
      </w:r>
    </w:p>
    <w:bookmarkStart w:id="169" w:name="institutional-background-2"/>
    <w:p>
      <w:pPr>
        <w:pStyle w:val="Heading3"/>
      </w:pPr>
      <w:r>
        <w:t xml:space="preserve">3.4.1 Institutional Background</w:t>
      </w:r>
    </w:p>
    <w:p>
      <w:pPr>
        <w:pStyle w:val="FirstParagraph"/>
      </w:pPr>
      <w:r>
        <w:t xml:space="preserve">The Majelis Ulama Indonesia (MUI) represents the official council of Islamic scholars in Indonesia and serves as primary authority for Islamic jurisprudence in the world’s largest Muslim-majority democracy (270+ million Muslims).</w:t>
      </w:r>
    </w:p>
    <w:p>
      <w:pPr>
        <w:pStyle w:val="BodyText"/>
      </w:pPr>
      <w:r>
        <w:rPr>
          <w:bCs/>
          <w:b/>
        </w:rPr>
        <w:t xml:space="preserve">Institutional Role:</w:t>
      </w:r>
      <w:r>
        <w:t xml:space="preserve"> </w:t>
      </w:r>
      <w:r>
        <w:t xml:space="preserve">- Issues fatwas (Islamic rulings) binding on Indonesian government policy</w:t>
      </w:r>
      <w:r>
        <w:t xml:space="preserve"> </w:t>
      </w:r>
      <w:r>
        <w:t xml:space="preserve">- Advises government on Islamic law matters</w:t>
      </w:r>
      <w:r>
        <w:t xml:space="preserve"> </w:t>
      </w:r>
      <w:r>
        <w:t xml:space="preserve">- Provides guidance to Muslim citizens</w:t>
      </w:r>
      <w:r>
        <w:t xml:space="preserve"> </w:t>
      </w:r>
      <w:r>
        <w:t xml:space="preserve">- Coordinates with regulatory bodies including OJK (Financial Services Authority)</w:t>
      </w:r>
    </w:p>
    <w:p>
      <w:pPr>
        <w:pStyle w:val="BodyText"/>
      </w:pPr>
      <w:r>
        <w:rPr>
          <w:bCs/>
          <w:b/>
        </w:rPr>
        <w:t xml:space="preserve">Authority and Influence:</w:t>
      </w:r>
      <w:r>
        <w:t xml:space="preserve"> </w:t>
      </w:r>
      <w:r>
        <w:t xml:space="preserve">MUI fatwa decisions influence:</w:t>
      </w:r>
      <w:r>
        <w:t xml:space="preserve"> </w:t>
      </w:r>
      <w:r>
        <w:t xml:space="preserve">- Government regulatory policy</w:t>
      </w:r>
      <w:r>
        <w:t xml:space="preserve"> </w:t>
      </w:r>
      <w:r>
        <w:t xml:space="preserve">- Banking and financial institution practices</w:t>
      </w:r>
      <w:r>
        <w:t xml:space="preserve"> </w:t>
      </w:r>
      <w:r>
        <w:t xml:space="preserve">- Public understanding of Islamic law</w:t>
      </w:r>
      <w:r>
        <w:t xml:space="preserve"> </w:t>
      </w:r>
      <w:r>
        <w:t xml:space="preserve">- Regional Islamic jurisprudence across Southeast Asia</w:t>
      </w:r>
    </w:p>
    <w:bookmarkEnd w:id="169"/>
    <w:bookmarkStart w:id="170" w:name="mui-position-on-cryptocurrency-2021-2026"/>
    <w:p>
      <w:pPr>
        <w:pStyle w:val="Heading3"/>
      </w:pPr>
      <w:r>
        <w:t xml:space="preserve">3.4.2 MUI Position on Cryptocurrency (2021-2026)</w:t>
      </w:r>
    </w:p>
    <w:p>
      <w:pPr>
        <w:pStyle w:val="FirstParagraph"/>
      </w:pPr>
      <w:r>
        <w:rPr>
          <w:bCs/>
          <w:b/>
        </w:rPr>
        <w:t xml:space="preserve">Original Official Fatwa (September 2021):</w:t>
      </w:r>
      <w:r>
        <w:t xml:space="preserve"> </w:t>
      </w:r>
      <w:r>
        <w:t xml:space="preserve">MUI issued Fatwa No. 4/DSN-MUI/IX/2021 on cryptocurrency classification.</w:t>
      </w:r>
    </w:p>
    <w:p>
      <w:pPr>
        <w:pStyle w:val="BodyText"/>
      </w:pPr>
      <w:r>
        <w:rPr>
          <w:bCs/>
          <w:b/>
        </w:rPr>
        <w:t xml:space="preserve">Position Summary (2021):</w:t>
      </w:r>
      <w:r>
        <w:t xml:space="preserve"> </w:t>
      </w:r>
      <w:r>
        <w:t xml:space="preserve">Cryptocurrency (specifically Bitcoin and similar cryptocurrencies) is classified as</w:t>
      </w:r>
      <w:r>
        <w:t xml:space="preserve"> </w:t>
      </w:r>
      <w:r>
        <w:rPr>
          <w:bCs/>
          <w:b/>
        </w:rPr>
        <w:t xml:space="preserve">speculative investment commodity</w:t>
      </w:r>
      <w:r>
        <w:t xml:space="preserve"> </w:t>
      </w:r>
      <w:r>
        <w:t xml:space="preserve">rather than currency or shariah-compliant financial instrument. Status:</w:t>
      </w:r>
      <w:r>
        <w:t xml:space="preserve"> </w:t>
      </w:r>
      <w:r>
        <w:rPr>
          <w:bCs/>
          <w:b/>
        </w:rPr>
        <w:t xml:space="preserve">Haram (forbidden) for Muslims except under specific conditions.</w:t>
      </w:r>
    </w:p>
    <w:p>
      <w:pPr>
        <w:pStyle w:val="BodyText"/>
      </w:pPr>
      <w:r>
        <w:rPr>
          <w:bCs/>
          <w:b/>
        </w:rPr>
        <w:t xml:space="preserve">Position Update (Expected 2025-2026):</w:t>
      </w:r>
      <w:r>
        <w:t xml:space="preserve"> </w:t>
      </w:r>
      <w:r>
        <w:t xml:space="preserve">As of February 2026, MUI is in the process of issuing an</w:t>
      </w:r>
      <w:r>
        <w:t xml:space="preserve"> </w:t>
      </w:r>
      <w:r>
        <w:rPr>
          <w:bCs/>
          <w:b/>
        </w:rPr>
        <w:t xml:space="preserve">addendum fatwa or comprehensive revision</w:t>
      </w:r>
      <w:r>
        <w:t xml:space="preserve"> </w:t>
      </w:r>
      <w:r>
        <w:t xml:space="preserve">that:</w:t>
      </w:r>
      <w:r>
        <w:t xml:space="preserve"> </w:t>
      </w:r>
      <w:r>
        <w:t xml:space="preserve">- Acknowledges OJK Regulation (POJK) No. 27/2024 and POJK No. 23/2025 as legitimate regulatory frameworks</w:t>
      </w:r>
      <w:r>
        <w:t xml:space="preserve"> </w:t>
      </w:r>
      <w:r>
        <w:t xml:space="preserve">- Shifts from Position B (categorical prohibition) toward Position C (conditional permissibility)</w:t>
      </w:r>
      <w:r>
        <w:t xml:space="preserve"> </w:t>
      </w:r>
      <w:r>
        <w:t xml:space="preserve">- Specifies conditions under which cryptocurrency becomes permissible (alignment with OJK technical requirements)</w:t>
      </w:r>
      <w:r>
        <w:t xml:space="preserve"> </w:t>
      </w:r>
      <w:r>
        <w:t xml:space="preserve">- Expected timeline: Final fatwa issuance Q2-Q3 2026</w:t>
      </w:r>
      <w:r>
        <w:t xml:space="preserve"> </w:t>
      </w:r>
      <w:r>
        <w:t xml:space="preserve">- Status: Currently in joint OJK-DSN-MUI working group (established September 2025) for unified Shariah screening framework development</w:t>
      </w:r>
    </w:p>
    <w:p>
      <w:pPr>
        <w:pStyle w:val="BodyText"/>
      </w:pPr>
      <w:r>
        <w:rPr>
          <w:bCs/>
          <w:b/>
        </w:rPr>
        <w:t xml:space="preserve">Key Determinations:</w:t>
      </w:r>
    </w:p>
    <w:p>
      <w:pPr>
        <w:numPr>
          <w:ilvl w:val="0"/>
          <w:numId w:val="1083"/>
        </w:numPr>
        <w:pStyle w:val="Compact"/>
      </w:pPr>
      <w:r>
        <w:rPr>
          <w:bCs/>
          <w:b/>
        </w:rPr>
        <w:t xml:space="preserve">Classification as Commodity</w:t>
      </w:r>
    </w:p>
    <w:p>
      <w:pPr>
        <w:numPr>
          <w:ilvl w:val="1"/>
          <w:numId w:val="1084"/>
        </w:numPr>
        <w:pStyle w:val="Compact"/>
      </w:pPr>
      <w:r>
        <w:t xml:space="preserve">Cryptocurrency not recognized as currency</w:t>
      </w:r>
    </w:p>
    <w:p>
      <w:pPr>
        <w:numPr>
          <w:ilvl w:val="1"/>
          <w:numId w:val="1084"/>
        </w:numPr>
        <w:pStyle w:val="Compact"/>
      </w:pPr>
      <w:r>
        <w:t xml:space="preserve">Not legal tender even in Indonesia</w:t>
      </w:r>
    </w:p>
    <w:p>
      <w:pPr>
        <w:numPr>
          <w:ilvl w:val="1"/>
          <w:numId w:val="1084"/>
        </w:numPr>
        <w:pStyle w:val="Compact"/>
      </w:pPr>
      <w:r>
        <w:t xml:space="preserve">Classified as speculative commodity subject to commodity regulations</w:t>
      </w:r>
    </w:p>
    <w:p>
      <w:pPr>
        <w:numPr>
          <w:ilvl w:val="1"/>
          <w:numId w:val="1084"/>
        </w:numPr>
        <w:pStyle w:val="Compact"/>
      </w:pPr>
      <w:r>
        <w:t xml:space="preserve">Subject to trading restrictions and regulations applicable to commodities</w:t>
      </w:r>
    </w:p>
    <w:p>
      <w:pPr>
        <w:numPr>
          <w:ilvl w:val="0"/>
          <w:numId w:val="1083"/>
        </w:numPr>
        <w:pStyle w:val="Compact"/>
      </w:pPr>
      <w:r>
        <w:rPr>
          <w:bCs/>
          <w:b/>
        </w:rPr>
        <w:t xml:space="preserve">Primary Haram Status</w:t>
      </w:r>
    </w:p>
    <w:p>
      <w:pPr>
        <w:numPr>
          <w:ilvl w:val="1"/>
          <w:numId w:val="1085"/>
        </w:numPr>
        <w:pStyle w:val="Compact"/>
      </w:pPr>
      <w:r>
        <w:t xml:space="preserve">Speculative trading in cryptocurrency is haram</w:t>
      </w:r>
    </w:p>
    <w:p>
      <w:pPr>
        <w:numPr>
          <w:ilvl w:val="1"/>
          <w:numId w:val="1085"/>
        </w:numPr>
        <w:pStyle w:val="Compact"/>
      </w:pPr>
      <w:r>
        <w:t xml:space="preserve">Cryptocurrency unsuitable as investment for ordinary Muslims</w:t>
      </w:r>
    </w:p>
    <w:p>
      <w:pPr>
        <w:numPr>
          <w:ilvl w:val="1"/>
          <w:numId w:val="1085"/>
        </w:numPr>
        <w:pStyle w:val="Compact"/>
      </w:pPr>
      <w:r>
        <w:t xml:space="preserve">Lacks fundamental Islamic financial requirements</w:t>
      </w:r>
    </w:p>
    <w:p>
      <w:pPr>
        <w:numPr>
          <w:ilvl w:val="1"/>
          <w:numId w:val="1085"/>
        </w:numPr>
        <w:pStyle w:val="Compact"/>
      </w:pPr>
      <w:r>
        <w:t xml:space="preserve">High-risk asset inconsistent with Islamic investment principles</w:t>
      </w:r>
    </w:p>
    <w:p>
      <w:pPr>
        <w:numPr>
          <w:ilvl w:val="0"/>
          <w:numId w:val="1083"/>
        </w:numPr>
        <w:pStyle w:val="Compact"/>
      </w:pPr>
      <w:r>
        <w:rPr>
          <w:bCs/>
          <w:b/>
        </w:rPr>
        <w:t xml:space="preserve">Limited Exception</w:t>
      </w:r>
    </w:p>
    <w:p>
      <w:pPr>
        <w:numPr>
          <w:ilvl w:val="1"/>
          <w:numId w:val="1086"/>
        </w:numPr>
        <w:pStyle w:val="Compact"/>
      </w:pPr>
      <w:r>
        <w:t xml:space="preserve">Cryptocurrency use for legitimate technological purposes (blockchain record-keeping) potentially permissible</w:t>
      </w:r>
    </w:p>
    <w:p>
      <w:pPr>
        <w:numPr>
          <w:ilvl w:val="1"/>
          <w:numId w:val="1086"/>
        </w:numPr>
        <w:pStyle w:val="Compact"/>
      </w:pPr>
      <w:r>
        <w:t xml:space="preserve">Limited mining activities for technological purposes potentially acceptable</w:t>
      </w:r>
    </w:p>
    <w:p>
      <w:pPr>
        <w:numPr>
          <w:ilvl w:val="1"/>
          <w:numId w:val="1086"/>
        </w:numPr>
        <w:pStyle w:val="Compact"/>
      </w:pPr>
      <w:r>
        <w:t xml:space="preserve">Narrow exception does not extend to investment or speculation</w:t>
      </w:r>
    </w:p>
    <w:bookmarkEnd w:id="170"/>
    <w:bookmarkStart w:id="171" w:name="muis-jurisprudential-reasoning"/>
    <w:p>
      <w:pPr>
        <w:pStyle w:val="Heading3"/>
      </w:pPr>
      <w:r>
        <w:t xml:space="preserve">3.4.3 MUI’s Jurisprudential Reasoning</w:t>
      </w:r>
    </w:p>
    <w:p>
      <w:pPr>
        <w:pStyle w:val="FirstParagraph"/>
      </w:pPr>
      <w:r>
        <w:rPr>
          <w:bCs/>
          <w:b/>
        </w:rPr>
        <w:t xml:space="preserve">Islamic Legal Basis:</w:t>
      </w:r>
    </w:p>
    <w:p>
      <w:pPr>
        <w:pStyle w:val="BodyText"/>
      </w:pPr>
      <w:r>
        <w:rPr>
          <w:bCs/>
          <w:b/>
        </w:rPr>
        <w:t xml:space="preserve">1. Prohibition of Riba (Interest/Usury)</w:t>
      </w:r>
      <w:r>
        <w:t xml:space="preserve"> </w:t>
      </w:r>
      <w:r>
        <w:t xml:space="preserve">MUI grounds position partly on riba prohibition:</w:t>
      </w:r>
      <w:r>
        <w:t xml:space="preserve"> </w:t>
      </w:r>
      <w:r>
        <w:t xml:space="preserve">- Cryptocurrency lacks productive basis generating returns</w:t>
      </w:r>
      <w:r>
        <w:t xml:space="preserve"> </w:t>
      </w:r>
      <w:r>
        <w:t xml:space="preserve">- Cryptocurrency gains come purely from price appreciation</w:t>
      </w:r>
      <w:r>
        <w:t xml:space="preserve"> </w:t>
      </w:r>
      <w:r>
        <w:t xml:space="preserve">- Similar to prohibited non-productive investment returns</w:t>
      </w:r>
    </w:p>
    <w:p>
      <w:pPr>
        <w:pStyle w:val="BodyText"/>
      </w:pPr>
      <w:r>
        <w:rPr>
          <w:bCs/>
          <w:b/>
        </w:rPr>
        <w:t xml:space="preserve">2. Prohibition of Gharar</w:t>
      </w:r>
      <w:r>
        <w:t xml:space="preserve"> </w:t>
      </w:r>
      <w:r>
        <w:t xml:space="preserve">MUI emphasizes extreme gharar (uncertainty) in cryptocurrency:</w:t>
      </w:r>
      <w:r>
        <w:t xml:space="preserve"> </w:t>
      </w:r>
      <w:r>
        <w:t xml:space="preserve">- Price volatility makes valuation impossible</w:t>
      </w:r>
      <w:r>
        <w:t xml:space="preserve"> </w:t>
      </w:r>
      <w:r>
        <w:t xml:space="preserve">- Future functionality uncertain</w:t>
      </w:r>
      <w:r>
        <w:t xml:space="preserve"> </w:t>
      </w:r>
      <w:r>
        <w:t xml:space="preserve">- Technology risk (obsolescence through competing technology)</w:t>
      </w:r>
      <w:r>
        <w:t xml:space="preserve"> </w:t>
      </w:r>
      <w:r>
        <w:t xml:space="preserve">- Regulatory uncertainty regarding legal status</w:t>
      </w:r>
    </w:p>
    <w:p>
      <w:pPr>
        <w:pStyle w:val="BodyText"/>
      </w:pPr>
      <w:r>
        <w:rPr>
          <w:bCs/>
          <w:b/>
        </w:rPr>
        <w:t xml:space="preserve">3. Prohibition of Maisir (Gambling)</w:t>
      </w:r>
      <w:r>
        <w:t xml:space="preserve"> </w:t>
      </w:r>
      <w:r>
        <w:t xml:space="preserve">MUI identifies gambling characteristics:</w:t>
      </w:r>
      <w:r>
        <w:t xml:space="preserve"> </w:t>
      </w:r>
      <w:r>
        <w:t xml:space="preserve">- Wealth transfer from losers to winners</w:t>
      </w:r>
      <w:r>
        <w:t xml:space="preserve"> </w:t>
      </w:r>
      <w:r>
        <w:t xml:space="preserve">- No value creation in productive economy</w:t>
      </w:r>
      <w:r>
        <w:t xml:space="preserve"> </w:t>
      </w:r>
      <w:r>
        <w:t xml:space="preserve">- Information asymmetry enabling insider advantage</w:t>
      </w:r>
      <w:r>
        <w:t xml:space="preserve"> </w:t>
      </w:r>
      <w:r>
        <w:t xml:space="preserve">- Essentially betting on price movements</w:t>
      </w:r>
    </w:p>
    <w:p>
      <w:pPr>
        <w:pStyle w:val="BodyText"/>
      </w:pPr>
      <w:r>
        <w:rPr>
          <w:bCs/>
          <w:b/>
        </w:rPr>
        <w:t xml:space="preserve">4. Lack of Intrinsic Value</w:t>
      </w:r>
      <w:r>
        <w:t xml:space="preserve"> </w:t>
      </w:r>
      <w:r>
        <w:t xml:space="preserve">MUI emphasizes lack of substantive economic backing:</w:t>
      </w:r>
      <w:r>
        <w:t xml:space="preserve"> </w:t>
      </w:r>
      <w:r>
        <w:t xml:space="preserve">- No productive assets generating returns</w:t>
      </w:r>
      <w:r>
        <w:t xml:space="preserve"> </w:t>
      </w:r>
      <w:r>
        <w:t xml:space="preserve">- No underlying utility (unlike currencies providing medium of exchange)</w:t>
      </w:r>
      <w:r>
        <w:t xml:space="preserve"> </w:t>
      </w:r>
      <w:r>
        <w:t xml:space="preserve">- Pure speculation on market sentiment</w:t>
      </w:r>
    </w:p>
    <w:bookmarkEnd w:id="171"/>
    <w:bookmarkStart w:id="172" w:name="Xa3ad53efd405afd19033c713164fd3f9ba07c58"/>
    <w:p>
      <w:pPr>
        <w:pStyle w:val="Heading3"/>
      </w:pPr>
      <w:r>
        <w:t xml:space="preserve">3.4.4 MUI’s Distinction: Commodity Classification</w:t>
      </w:r>
    </w:p>
    <w:p>
      <w:pPr>
        <w:pStyle w:val="FirstParagraph"/>
      </w:pPr>
      <w:r>
        <w:rPr>
          <w:bCs/>
          <w:b/>
        </w:rPr>
        <w:t xml:space="preserve">Significance of Commodity Classification:</w:t>
      </w:r>
    </w:p>
    <w:p>
      <w:pPr>
        <w:pStyle w:val="BodyText"/>
      </w:pPr>
      <w:r>
        <w:t xml:space="preserve">MUI’s classification as commodity (rather than currency or financial security) has important implications:</w:t>
      </w:r>
    </w:p>
    <w:p>
      <w:pPr>
        <w:pStyle w:val="SourceCode"/>
      </w:pPr>
      <w:r>
        <w:rPr>
          <w:rStyle w:val="VerbatimChar"/>
        </w:rPr>
        <w:t xml:space="preserve">CLASSIFICATION COMPARISON</w:t>
      </w:r>
      <w:r>
        <w:br/>
      </w:r>
      <w:r>
        <w:rPr>
          <w:rStyle w:val="VerbatimChar"/>
        </w:rPr>
        <w:t xml:space="preserve">═════════════════════════════════════════════════════════════</w:t>
      </w:r>
      <w:r>
        <w:br/>
      </w:r>
      <w:r>
        <w:br/>
      </w:r>
      <w:r>
        <w:rPr>
          <w:rStyle w:val="VerbatimChar"/>
        </w:rPr>
        <w:t xml:space="preserve">Aspect              Currency    Commodity   Crypto (MUI View)</w:t>
      </w:r>
      <w:r>
        <w:br/>
      </w:r>
      <w:r>
        <w:rPr>
          <w:rStyle w:val="VerbatimChar"/>
        </w:rPr>
        <w:t xml:space="preserve">────────────────────────────────────────────────────────────</w:t>
      </w:r>
      <w:r>
        <w:br/>
      </w:r>
      <w:r>
        <w:rPr>
          <w:rStyle w:val="VerbatimChar"/>
        </w:rPr>
        <w:t xml:space="preserve">Legal Tender        Yes         No          No</w:t>
      </w:r>
      <w:r>
        <w:br/>
      </w:r>
      <w:r>
        <w:rPr>
          <w:rStyle w:val="VerbatimChar"/>
        </w:rPr>
        <w:t xml:space="preserve">Medium of Exchange  Yes         Limited     No</w:t>
      </w:r>
      <w:r>
        <w:br/>
      </w:r>
      <w:r>
        <w:rPr>
          <w:rStyle w:val="VerbatimChar"/>
        </w:rPr>
        <w:t xml:space="preserve">Store of Value      Yes         Yes         Unstable</w:t>
      </w:r>
      <w:r>
        <w:br/>
      </w:r>
      <w:r>
        <w:rPr>
          <w:rStyle w:val="VerbatimChar"/>
        </w:rPr>
        <w:t xml:space="preserve">Intrinsic Value     Government- Utility     Speculative</w:t>
      </w:r>
      <w:r>
        <w:br/>
      </w:r>
      <w:r>
        <w:rPr>
          <w:rStyle w:val="VerbatimChar"/>
        </w:rPr>
        <w:t xml:space="preserve">                    backed      value</w:t>
      </w:r>
      <w:r>
        <w:br/>
      </w:r>
      <w:r>
        <w:rPr>
          <w:rStyle w:val="VerbatimChar"/>
        </w:rPr>
        <w:t xml:space="preserve">Regulation Type     Monetary    Market      Commodity</w:t>
      </w:r>
      <w:r>
        <w:br/>
      </w:r>
      <w:r>
        <w:rPr>
          <w:rStyle w:val="VerbatimChar"/>
        </w:rPr>
        <w:t xml:space="preserve">Islamic Status      Variable    Variable    Haram (speculative)</w:t>
      </w:r>
    </w:p>
    <w:p>
      <w:pPr>
        <w:pStyle w:val="FirstParagraph"/>
      </w:pPr>
      <w:r>
        <w:rPr>
          <w:bCs/>
          <w:b/>
        </w:rPr>
        <w:t xml:space="preserve">Practical Consequence:</w:t>
      </w:r>
      <w:r>
        <w:t xml:space="preserve"> </w:t>
      </w:r>
      <w:r>
        <w:t xml:space="preserve">MUI’s commodity classification means:</w:t>
      </w:r>
      <w:r>
        <w:t xml:space="preserve"> </w:t>
      </w:r>
      <w:r>
        <w:t xml:space="preserve">- Cryptocurrency subject to OJK commodity regulations</w:t>
      </w:r>
      <w:r>
        <w:t xml:space="preserve"> </w:t>
      </w:r>
      <w:r>
        <w:t xml:space="preserve">- Cannot be used as currency in Indonesia</w:t>
      </w:r>
      <w:r>
        <w:t xml:space="preserve"> </w:t>
      </w:r>
      <w:r>
        <w:t xml:space="preserve">- Requires specific licensing for trading</w:t>
      </w:r>
      <w:r>
        <w:t xml:space="preserve"> </w:t>
      </w:r>
      <w:r>
        <w:t xml:space="preserve">- Investment treated as speculative commodity investment</w:t>
      </w:r>
      <w:r>
        <w:t xml:space="preserve"> </w:t>
      </w:r>
      <w:r>
        <w:t xml:space="preserve">- Not protected under Islamic banking regulations</w:t>
      </w:r>
    </w:p>
    <w:bookmarkEnd w:id="172"/>
    <w:bookmarkStart w:id="173" w:name="muis-risk-assessment"/>
    <w:p>
      <w:pPr>
        <w:pStyle w:val="Heading3"/>
      </w:pPr>
      <w:r>
        <w:t xml:space="preserve">3.4.5 MUI’s Risk Assessment</w:t>
      </w:r>
    </w:p>
    <w:p>
      <w:pPr>
        <w:pStyle w:val="FirstParagraph"/>
      </w:pPr>
      <w:r>
        <w:rPr>
          <w:bCs/>
          <w:b/>
        </w:rPr>
        <w:t xml:space="preserve">Explicit Risk Warnings:</w:t>
      </w:r>
    </w:p>
    <w:p>
      <w:pPr>
        <w:pStyle w:val="BodyText"/>
      </w:pPr>
      <w:r>
        <w:t xml:space="preserve">MUI fatwa includes explicit warnings regarding cryptocurrency:</w:t>
      </w:r>
    </w:p>
    <w:p>
      <w:pPr>
        <w:numPr>
          <w:ilvl w:val="0"/>
          <w:numId w:val="1087"/>
        </w:numPr>
        <w:pStyle w:val="Compact"/>
      </w:pPr>
      <w:r>
        <w:rPr>
          <w:bCs/>
          <w:b/>
        </w:rPr>
        <w:t xml:space="preserve">Volatility Risk</w:t>
      </w:r>
    </w:p>
    <w:p>
      <w:pPr>
        <w:numPr>
          <w:ilvl w:val="1"/>
          <w:numId w:val="1088"/>
        </w:numPr>
        <w:pStyle w:val="Compact"/>
      </w:pPr>
      <w:r>
        <w:t xml:space="preserve">Cryptocurrency exhibits extreme price volatility</w:t>
      </w:r>
    </w:p>
    <w:p>
      <w:pPr>
        <w:numPr>
          <w:ilvl w:val="1"/>
          <w:numId w:val="1088"/>
        </w:numPr>
        <w:pStyle w:val="Compact"/>
      </w:pPr>
      <w:r>
        <w:t xml:space="preserve">Unsuitable for ordinary investors</w:t>
      </w:r>
    </w:p>
    <w:p>
      <w:pPr>
        <w:numPr>
          <w:ilvl w:val="1"/>
          <w:numId w:val="1088"/>
        </w:numPr>
        <w:pStyle w:val="Compact"/>
      </w:pPr>
      <w:r>
        <w:t xml:space="preserve">Risk of catastrophic loss</w:t>
      </w:r>
    </w:p>
    <w:p>
      <w:pPr>
        <w:numPr>
          <w:ilvl w:val="0"/>
          <w:numId w:val="1087"/>
        </w:numPr>
        <w:pStyle w:val="Compact"/>
      </w:pPr>
      <w:r>
        <w:rPr>
          <w:bCs/>
          <w:b/>
        </w:rPr>
        <w:t xml:space="preserve">Regulatory Risk</w:t>
      </w:r>
    </w:p>
    <w:p>
      <w:pPr>
        <w:numPr>
          <w:ilvl w:val="1"/>
          <w:numId w:val="1089"/>
        </w:numPr>
        <w:pStyle w:val="Compact"/>
      </w:pPr>
      <w:r>
        <w:t xml:space="preserve">Regulatory environment uncertain</w:t>
      </w:r>
    </w:p>
    <w:p>
      <w:pPr>
        <w:numPr>
          <w:ilvl w:val="1"/>
          <w:numId w:val="1089"/>
        </w:numPr>
        <w:pStyle w:val="Compact"/>
      </w:pPr>
      <w:r>
        <w:t xml:space="preserve">Possible future prohibition</w:t>
      </w:r>
    </w:p>
    <w:p>
      <w:pPr>
        <w:numPr>
          <w:ilvl w:val="1"/>
          <w:numId w:val="1089"/>
        </w:numPr>
        <w:pStyle w:val="Compact"/>
      </w:pPr>
      <w:r>
        <w:t xml:space="preserve">Risk of sudden value collapse due to regulation</w:t>
      </w:r>
    </w:p>
    <w:p>
      <w:pPr>
        <w:numPr>
          <w:ilvl w:val="0"/>
          <w:numId w:val="1087"/>
        </w:numPr>
        <w:pStyle w:val="Compact"/>
      </w:pPr>
      <w:r>
        <w:rPr>
          <w:bCs/>
          <w:b/>
        </w:rPr>
        <w:t xml:space="preserve">Technology Risk</w:t>
      </w:r>
    </w:p>
    <w:p>
      <w:pPr>
        <w:numPr>
          <w:ilvl w:val="1"/>
          <w:numId w:val="1090"/>
        </w:numPr>
        <w:pStyle w:val="Compact"/>
      </w:pPr>
      <w:r>
        <w:t xml:space="preserve">Technology risk from competing cryptocurrencies</w:t>
      </w:r>
    </w:p>
    <w:p>
      <w:pPr>
        <w:numPr>
          <w:ilvl w:val="1"/>
          <w:numId w:val="1090"/>
        </w:numPr>
        <w:pStyle w:val="Compact"/>
      </w:pPr>
      <w:r>
        <w:t xml:space="preserve">Risk of protocol obsolescence</w:t>
      </w:r>
    </w:p>
    <w:p>
      <w:pPr>
        <w:numPr>
          <w:ilvl w:val="1"/>
          <w:numId w:val="1090"/>
        </w:numPr>
        <w:pStyle w:val="Compact"/>
      </w:pPr>
      <w:r>
        <w:t xml:space="preserve">Security vulnerabilities and exchange hacks</w:t>
      </w:r>
    </w:p>
    <w:p>
      <w:pPr>
        <w:numPr>
          <w:ilvl w:val="0"/>
          <w:numId w:val="1087"/>
        </w:numPr>
        <w:pStyle w:val="Compact"/>
      </w:pPr>
      <w:r>
        <w:rPr>
          <w:bCs/>
          <w:b/>
        </w:rPr>
        <w:t xml:space="preserve">Fraud Risk</w:t>
      </w:r>
    </w:p>
    <w:p>
      <w:pPr>
        <w:numPr>
          <w:ilvl w:val="1"/>
          <w:numId w:val="1091"/>
        </w:numPr>
        <w:pStyle w:val="Compact"/>
      </w:pPr>
      <w:r>
        <w:t xml:space="preserve">Market manipulation</w:t>
      </w:r>
    </w:p>
    <w:p>
      <w:pPr>
        <w:numPr>
          <w:ilvl w:val="1"/>
          <w:numId w:val="1091"/>
        </w:numPr>
        <w:pStyle w:val="Compact"/>
      </w:pPr>
      <w:r>
        <w:t xml:space="preserve">Pump-and-dump schemes</w:t>
      </w:r>
    </w:p>
    <w:p>
      <w:pPr>
        <w:numPr>
          <w:ilvl w:val="1"/>
          <w:numId w:val="1091"/>
        </w:numPr>
        <w:pStyle w:val="Compact"/>
      </w:pPr>
      <w:r>
        <w:t xml:space="preserve">Fraudulent cryptocurrency offerings</w:t>
      </w:r>
    </w:p>
    <w:p>
      <w:pPr>
        <w:pStyle w:val="FirstParagraph"/>
      </w:pPr>
      <w:r>
        <w:rPr>
          <w:bCs/>
          <w:b/>
        </w:rPr>
        <w:t xml:space="preserve">Conclusion:</w:t>
      </w:r>
      <w:r>
        <w:t xml:space="preserve"> </w:t>
      </w:r>
      <w:r>
        <w:t xml:space="preserve">MUI explicitly states that cryptocurrency is</w:t>
      </w:r>
      <w:r>
        <w:t xml:space="preserve"> </w:t>
      </w:r>
      <w:r>
        <w:t xml:space="preserve">“</w:t>
      </w:r>
      <w:r>
        <w:t xml:space="preserve">high-risk</w:t>
      </w:r>
      <w:r>
        <w:t xml:space="preserve">”</w:t>
      </w:r>
      <w:r>
        <w:t xml:space="preserve"> </w:t>
      </w:r>
      <w:r>
        <w:t xml:space="preserve">and</w:t>
      </w:r>
      <w:r>
        <w:t xml:space="preserve"> </w:t>
      </w:r>
      <w:r>
        <w:t xml:space="preserve">“</w:t>
      </w:r>
      <w:r>
        <w:t xml:space="preserve">not recommended</w:t>
      </w:r>
      <w:r>
        <w:t xml:space="preserve">”</w:t>
      </w:r>
      <w:r>
        <w:t xml:space="preserve"> </w:t>
      </w:r>
      <w:r>
        <w:t xml:space="preserve">for Muslim investment.</w:t>
      </w:r>
    </w:p>
    <w:p>
      <w:r>
        <w:pict>
          <v:rect style="width:0;height:1.5pt" o:hralign="center" o:hrstd="t" o:hr="t"/>
        </w:pict>
      </w:r>
    </w:p>
    <w:bookmarkEnd w:id="173"/>
    <w:bookmarkEnd w:id="174"/>
    <w:bookmarkStart w:id="178" w:name="X13a00b47501793f3d68da2504a7c2b838b76663"/>
    <w:p>
      <w:pPr>
        <w:pStyle w:val="Heading2"/>
      </w:pPr>
      <w:r>
        <w:t xml:space="preserve">3.5 Synthesis: Points of Consensus and Divergence</w:t>
      </w:r>
    </w:p>
    <w:bookmarkStart w:id="175" w:name="major-points-of-consensus"/>
    <w:p>
      <w:pPr>
        <w:pStyle w:val="Heading3"/>
      </w:pPr>
      <w:r>
        <w:t xml:space="preserve">3.5.1 Major Points of Consensus</w:t>
      </w:r>
    </w:p>
    <w:p>
      <w:pPr>
        <w:pStyle w:val="FirstParagraph"/>
      </w:pPr>
      <w:r>
        <w:t xml:space="preserve">Despite significant institutional differences, Islamic authorities demonstrate consensus on several fundamental points:</w:t>
      </w:r>
    </w:p>
    <w:p>
      <w:pPr>
        <w:pStyle w:val="BodyText"/>
      </w:pPr>
      <w:r>
        <w:rPr>
          <w:bCs/>
          <w:b/>
        </w:rPr>
        <w:t xml:space="preserve">CONSENSUS POINT 1: Pure Cryptocurrency Not Shariah-Compliant</w:t>
      </w:r>
    </w:p>
    <w:p>
      <w:pPr>
        <w:pStyle w:val="BodyText"/>
      </w:pPr>
      <w:r>
        <w:rPr>
          <w:bCs/>
          <w:b/>
        </w:rPr>
        <w:t xml:space="preserve">Position:</w:t>
      </w:r>
      <w:r>
        <w:t xml:space="preserve"> </w:t>
      </w:r>
      <w:r>
        <w:t xml:space="preserve">AAOIFI, Dar al-Ifta, Taqi Usmani, and MUI all agree: pure cryptocurrency (Bitcoin, Ethereum without productive backing) is not shariah-compliant for investment purposes.</w:t>
      </w:r>
    </w:p>
    <w:p>
      <w:pPr>
        <w:pStyle w:val="SourceCode"/>
      </w:pPr>
      <w:r>
        <w:rPr>
          <w:rStyle w:val="VerbatimChar"/>
        </w:rPr>
        <w:t xml:space="preserve">AUTHORITY CONSENSUS ON PURE CRYPTOCURRENCY</w:t>
      </w:r>
      <w:r>
        <w:br/>
      </w:r>
      <w:r>
        <w:rPr>
          <w:rStyle w:val="VerbatimChar"/>
        </w:rPr>
        <w:t xml:space="preserve">═════════════════════════════════════════════════════════════</w:t>
      </w:r>
      <w:r>
        <w:br/>
      </w:r>
      <w:r>
        <w:br/>
      </w:r>
      <w:r>
        <w:rPr>
          <w:rStyle w:val="VerbatimChar"/>
        </w:rPr>
        <w:t xml:space="preserve">AAOIFI (2023)           ❌ NOT COMPLIANT</w:t>
      </w:r>
      <w:r>
        <w:br/>
      </w:r>
      <w:r>
        <w:rPr>
          <w:rStyle w:val="VerbatimChar"/>
        </w:rPr>
        <w:t xml:space="preserve">Dar al-Ifta (2017)      ❌ HARAM</w:t>
      </w:r>
      <w:r>
        <w:br/>
      </w:r>
      <w:r>
        <w:rPr>
          <w:rStyle w:val="VerbatimChar"/>
        </w:rPr>
        <w:t xml:space="preserve">Taqi Usmani (2024)      ❌ NOT COMPLIANT</w:t>
      </w:r>
      <w:r>
        <w:br/>
      </w:r>
      <w:r>
        <w:rPr>
          <w:rStyle w:val="VerbatimChar"/>
        </w:rPr>
        <w:t xml:space="preserve">MUI (2021)              ❌ HARAM (speculative)</w:t>
      </w:r>
      <w:r>
        <w:br/>
      </w:r>
      <w:r>
        <w:rPr>
          <w:rStyle w:val="VerbatimChar"/>
        </w:rPr>
        <w:t xml:space="preserve">─────────────────────────────────────────────────────────</w:t>
      </w:r>
      <w:r>
        <w:br/>
      </w:r>
      <w:r>
        <w:rPr>
          <w:rStyle w:val="VerbatimChar"/>
        </w:rPr>
        <w:t xml:space="preserve">CONSENSUS:              ❌ PURE CRYPTO NOT SHARIAH-COMPLIANT</w:t>
      </w:r>
    </w:p>
    <w:p>
      <w:pPr>
        <w:pStyle w:val="FirstParagraph"/>
      </w:pPr>
      <w:r>
        <w:rPr>
          <w:bCs/>
          <w:b/>
        </w:rPr>
        <w:t xml:space="preserve">Basis for Consensus:</w:t>
      </w:r>
      <w:r>
        <w:t xml:space="preserve"> </w:t>
      </w:r>
      <w:r>
        <w:t xml:space="preserve">All authorities cite:</w:t>
      </w:r>
      <w:r>
        <w:t xml:space="preserve"> </w:t>
      </w:r>
      <w:r>
        <w:t xml:space="preserve">- Lack of intrinsic value</w:t>
      </w:r>
      <w:r>
        <w:t xml:space="preserve"> </w:t>
      </w:r>
      <w:r>
        <w:t xml:space="preserve">- Excessive gharar (uncertainty)</w:t>
      </w:r>
      <w:r>
        <w:t xml:space="preserve"> </w:t>
      </w:r>
      <w:r>
        <w:t xml:space="preserve">- Gambling (maisir) characteristics</w:t>
      </w:r>
      <w:r>
        <w:t xml:space="preserve"> </w:t>
      </w:r>
      <w:r>
        <w:t xml:space="preserve">- Absence of productive backing</w:t>
      </w:r>
    </w:p>
    <w:p>
      <w:pPr>
        <w:pStyle w:val="BodyText"/>
      </w:pPr>
      <w:r>
        <w:rPr>
          <w:bCs/>
          <w:b/>
        </w:rPr>
        <w:t xml:space="preserve">CONSENSUS POINT 2: Asset-Backed Alternatives May Be Permissible</w:t>
      </w:r>
    </w:p>
    <w:p>
      <w:pPr>
        <w:pStyle w:val="BodyText"/>
      </w:pPr>
      <w:r>
        <w:rPr>
          <w:bCs/>
          <w:b/>
        </w:rPr>
        <w:t xml:space="preserve">Position:</w:t>
      </w:r>
      <w:r>
        <w:t xml:space="preserve"> </w:t>
      </w:r>
      <w:r>
        <w:t xml:space="preserve">Multiple authorities acknowledge that properly-structured, asset-backed cryptocurrencies may achieve shariah compliance.</w:t>
      </w:r>
    </w:p>
    <w:p>
      <w:pPr>
        <w:pStyle w:val="SourceCode"/>
      </w:pPr>
      <w:r>
        <w:rPr>
          <w:rStyle w:val="VerbatimChar"/>
        </w:rPr>
        <w:t xml:space="preserve">AUTHORITY POSITIONS ON ASSET-BACKED CRYPTO</w:t>
      </w:r>
      <w:r>
        <w:br/>
      </w:r>
      <w:r>
        <w:rPr>
          <w:rStyle w:val="VerbatimChar"/>
        </w:rPr>
        <w:t xml:space="preserve">═════════════════════════════════════════════════════════════</w:t>
      </w:r>
      <w:r>
        <w:br/>
      </w:r>
      <w:r>
        <w:br/>
      </w:r>
      <w:r>
        <w:rPr>
          <w:rStyle w:val="VerbatimChar"/>
        </w:rPr>
        <w:t xml:space="preserve">AAOIFI                  ⚠️ CONDITIONAL (with strict requirements)</w:t>
      </w:r>
      <w:r>
        <w:br/>
      </w:r>
      <w:r>
        <w:rPr>
          <w:rStyle w:val="VerbatimChar"/>
        </w:rPr>
        <w:t xml:space="preserve">Dar al-Ifta             ⚠️ LIMITED (blockchain tech only)</w:t>
      </w:r>
      <w:r>
        <w:br/>
      </w:r>
      <w:r>
        <w:rPr>
          <w:rStyle w:val="VerbatimChar"/>
        </w:rPr>
        <w:t xml:space="preserve">Taqi Usmani             ✅ POTENTIALLY PERMISSIBLE</w:t>
      </w:r>
      <w:r>
        <w:br/>
      </w:r>
      <w:r>
        <w:rPr>
          <w:rStyle w:val="VerbatimChar"/>
        </w:rPr>
        <w:t xml:space="preserve">MUI                     ⚠️ NOT ADDRESSED (focuses on pure crypto)</w:t>
      </w:r>
      <w:r>
        <w:br/>
      </w:r>
      <w:r>
        <w:rPr>
          <w:rStyle w:val="VerbatimChar"/>
        </w:rPr>
        <w:t xml:space="preserve">─────────────────────────────────────────────────────────</w:t>
      </w:r>
      <w:r>
        <w:br/>
      </w:r>
      <w:r>
        <w:rPr>
          <w:rStyle w:val="VerbatimChar"/>
        </w:rPr>
        <w:t xml:space="preserve">CONSENSUS:              Asset-backed alternatives more compliant</w:t>
      </w:r>
    </w:p>
    <w:p>
      <w:pPr>
        <w:pStyle w:val="FirstParagraph"/>
      </w:pPr>
      <w:r>
        <w:rPr>
          <w:bCs/>
          <w:b/>
        </w:rPr>
        <w:t xml:space="preserve">Conditions Generally Required:</w:t>
      </w:r>
      <w:r>
        <w:t xml:space="preserve"> </w:t>
      </w:r>
      <w:r>
        <w:t xml:space="preserve">- Physical/tangible asset backing</w:t>
      </w:r>
      <w:r>
        <w:t xml:space="preserve"> </w:t>
      </w:r>
      <w:r>
        <w:t xml:space="preserve">- 1:1 backing ratio (no fractional reserve)</w:t>
      </w:r>
      <w:r>
        <w:t xml:space="preserve"> </w:t>
      </w:r>
      <w:r>
        <w:t xml:space="preserve">- Clear redemption rights</w:t>
      </w:r>
      <w:r>
        <w:t xml:space="preserve"> </w:t>
      </w:r>
      <w:r>
        <w:t xml:space="preserve">- Independent verification of reserves</w:t>
      </w:r>
      <w:r>
        <w:t xml:space="preserve"> </w:t>
      </w:r>
      <w:r>
        <w:t xml:space="preserve">- Transparent custody arrangements</w:t>
      </w:r>
    </w:p>
    <w:p>
      <w:pPr>
        <w:pStyle w:val="BodyText"/>
      </w:pPr>
      <w:r>
        <w:rPr>
          <w:bCs/>
          <w:b/>
        </w:rPr>
        <w:t xml:space="preserve">CONSENSUS POINT 3: Stablecoins Potentially More Compliant</w:t>
      </w:r>
    </w:p>
    <w:p>
      <w:pPr>
        <w:pStyle w:val="BodyText"/>
      </w:pPr>
      <w:r>
        <w:rPr>
          <w:bCs/>
          <w:b/>
        </w:rPr>
        <w:t xml:space="preserve">Position:</w:t>
      </w:r>
      <w:r>
        <w:t xml:space="preserve"> </w:t>
      </w:r>
      <w:r>
        <w:t xml:space="preserve">AAOIFI and Taqi Usmani both recognize stablecoins (fiat-backed cryptocurrencies) as potentially more shariah-compliant than volatile cryptocurrencies.</w:t>
      </w:r>
    </w:p>
    <w:p>
      <w:pPr>
        <w:pStyle w:val="BodyText"/>
      </w:pPr>
      <w:r>
        <w:rPr>
          <w:bCs/>
          <w:b/>
        </w:rPr>
        <w:t xml:space="preserve">Reasoning:</w:t>
      </w:r>
      <w:r>
        <w:t xml:space="preserve"> </w:t>
      </w:r>
      <w:r>
        <w:t xml:space="preserve">Stablecoins eliminate primary gharar concern (price uncertainty) while maintaining technological benefits:</w:t>
      </w:r>
      <w:r>
        <w:t xml:space="preserve"> </w:t>
      </w:r>
      <w:r>
        <w:t xml:space="preserve">- Stable value (pegged to fiat currency)</w:t>
      </w:r>
      <w:r>
        <w:t xml:space="preserve"> </w:t>
      </w:r>
      <w:r>
        <w:t xml:space="preserve">- Clear backing</w:t>
      </w:r>
      <w:r>
        <w:t xml:space="preserve"> </w:t>
      </w:r>
      <w:r>
        <w:t xml:space="preserve">- Transparent redemption</w:t>
      </w:r>
      <w:r>
        <w:t xml:space="preserve"> </w:t>
      </w:r>
      <w:r>
        <w:t xml:space="preserve">- Reduced speculation incentive</w:t>
      </w:r>
    </w:p>
    <w:p>
      <w:pPr>
        <w:pStyle w:val="BodyText"/>
      </w:pPr>
      <w:r>
        <w:rPr>
          <w:bCs/>
          <w:b/>
        </w:rPr>
        <w:t xml:space="preserve">CONSENSUS POINT 4: Blockchain Technology Itself Not Prohibited</w:t>
      </w:r>
    </w:p>
    <w:p>
      <w:pPr>
        <w:pStyle w:val="BodyText"/>
      </w:pPr>
      <w:r>
        <w:rPr>
          <w:bCs/>
          <w:b/>
        </w:rPr>
        <w:t xml:space="preserve">Position:</w:t>
      </w:r>
      <w:r>
        <w:t xml:space="preserve"> </w:t>
      </w:r>
      <w:r>
        <w:t xml:space="preserve">All authorities distinguish between cryptocurrency as speculative investment and blockchain technology as neutral technology.</w:t>
      </w:r>
    </w:p>
    <w:p>
      <w:pPr>
        <w:pStyle w:val="BodyText"/>
      </w:pPr>
      <w:r>
        <w:rPr>
          <w:bCs/>
          <w:b/>
        </w:rPr>
        <w:t xml:space="preserve">Permissible Applications:</w:t>
      </w:r>
      <w:r>
        <w:t xml:space="preserve"> </w:t>
      </w:r>
      <w:r>
        <w:t xml:space="preserve">- Record-keeping and verification</w:t>
      </w:r>
      <w:r>
        <w:t xml:space="preserve"> </w:t>
      </w:r>
      <w:r>
        <w:t xml:space="preserve">- Administrative documentation</w:t>
      </w:r>
      <w:r>
        <w:t xml:space="preserve"> </w:t>
      </w:r>
      <w:r>
        <w:t xml:space="preserve">- Transaction verification</w:t>
      </w:r>
      <w:r>
        <w:t xml:space="preserve"> </w:t>
      </w:r>
      <w:r>
        <w:t xml:space="preserve">- Smart contract applications for legitimate purposes</w:t>
      </w:r>
    </w:p>
    <w:p>
      <w:pPr>
        <w:pStyle w:val="BodyText"/>
      </w:pPr>
      <w:r>
        <w:rPr>
          <w:bCs/>
          <w:b/>
        </w:rPr>
        <w:t xml:space="preserve">Impermissible Applications:</w:t>
      </w:r>
      <w:r>
        <w:t xml:space="preserve"> </w:t>
      </w:r>
      <w:r>
        <w:t xml:space="preserve">- Speculative cryptocurrency trading</w:t>
      </w:r>
      <w:r>
        <w:t xml:space="preserve"> </w:t>
      </w:r>
      <w:r>
        <w:t xml:space="preserve">- Gambling-like financial derivatives</w:t>
      </w:r>
      <w:r>
        <w:t xml:space="preserve"> </w:t>
      </w:r>
      <w:r>
        <w:t xml:space="preserve">- Instruments facilitating prohibited transactions</w:t>
      </w:r>
    </w:p>
    <w:bookmarkEnd w:id="175"/>
    <w:bookmarkStart w:id="176" w:name="points-of-divergence"/>
    <w:p>
      <w:pPr>
        <w:pStyle w:val="Heading3"/>
      </w:pPr>
      <w:r>
        <w:t xml:space="preserve">3.5.2 Points of Divergence</w:t>
      </w:r>
    </w:p>
    <w:p>
      <w:pPr>
        <w:pStyle w:val="FirstParagraph"/>
      </w:pPr>
      <w:r>
        <w:rPr>
          <w:bCs/>
          <w:b/>
        </w:rPr>
        <w:t xml:space="preserve">DIVERGENCE 1: Degree of Restrictiveness</w:t>
      </w:r>
    </w:p>
    <w:p>
      <w:pPr>
        <w:pStyle w:val="SourceCode"/>
      </w:pPr>
      <w:r>
        <w:rPr>
          <w:rStyle w:val="VerbatimChar"/>
        </w:rPr>
        <w:t xml:space="preserve">SPECTRUM OF POSITIONS</w:t>
      </w:r>
      <w:r>
        <w:br/>
      </w:r>
      <w:r>
        <w:rPr>
          <w:rStyle w:val="VerbatimChar"/>
        </w:rPr>
        <w:t xml:space="preserve">═════════════════════════════════════════════════════════════</w:t>
      </w:r>
      <w:r>
        <w:br/>
      </w:r>
      <w:r>
        <w:br/>
      </w:r>
      <w:r>
        <w:rPr>
          <w:rStyle w:val="VerbatimChar"/>
        </w:rPr>
        <w:t xml:space="preserve">Most Restrictive ←─────────────────────────────────────→ Most Permissive</w:t>
      </w:r>
      <w:r>
        <w:br/>
      </w:r>
      <w:r>
        <w:br/>
      </w:r>
      <w:r>
        <w:rPr>
          <w:rStyle w:val="VerbatimChar"/>
        </w:rPr>
        <w:t xml:space="preserve">Dar al-Ifta       AAOIFI        MUI      Taqi Usmani</w:t>
      </w:r>
      <w:r>
        <w:br/>
      </w:r>
      <w:r>
        <w:rPr>
          <w:rStyle w:val="VerbatimChar"/>
        </w:rPr>
        <w:t xml:space="preserve">(Categorical      (Institutional (Regulatory  (Nuanced</w:t>
      </w:r>
      <w:r>
        <w:br/>
      </w:r>
      <w:r>
        <w:rPr>
          <w:rStyle w:val="VerbatimChar"/>
        </w:rPr>
        <w:t xml:space="preserve">Prohibition)      Framework)    Classification) Approach)</w:t>
      </w:r>
      <w:r>
        <w:br/>
      </w:r>
      <w:r>
        <w:br/>
      </w:r>
      <w:r>
        <w:rPr>
          <w:rStyle w:val="VerbatimChar"/>
        </w:rPr>
        <w:t xml:space="preserve">100% NO     75% NO      50% NO     25% NO</w:t>
      </w:r>
      <w:r>
        <w:br/>
      </w:r>
      <w:r>
        <w:rPr>
          <w:rStyle w:val="VerbatimChar"/>
        </w:rPr>
        <w:t xml:space="preserve">Blanket     Restrictive Conditional Balanced</w:t>
      </w:r>
      <w:r>
        <w:br/>
      </w:r>
      <w:r>
        <w:rPr>
          <w:rStyle w:val="VerbatimChar"/>
        </w:rPr>
        <w:t xml:space="preserve">Prohibition Standard    Approach   Assessment</w:t>
      </w:r>
    </w:p>
    <w:p>
      <w:pPr>
        <w:pStyle w:val="FirstParagraph"/>
      </w:pPr>
      <w:r>
        <w:rPr>
          <w:bCs/>
          <w:b/>
        </w:rPr>
        <w:t xml:space="preserve">Factors Explaining Divergence:</w:t>
      </w:r>
    </w:p>
    <w:p>
      <w:pPr>
        <w:numPr>
          <w:ilvl w:val="0"/>
          <w:numId w:val="1092"/>
        </w:numPr>
        <w:pStyle w:val="Compact"/>
      </w:pPr>
      <w:r>
        <w:rPr>
          <w:bCs/>
          <w:b/>
        </w:rPr>
        <w:t xml:space="preserve">Jurisprudential Tradition</w:t>
      </w:r>
    </w:p>
    <w:p>
      <w:pPr>
        <w:numPr>
          <w:ilvl w:val="1"/>
          <w:numId w:val="1093"/>
        </w:numPr>
        <w:pStyle w:val="Compact"/>
      </w:pPr>
      <w:r>
        <w:t xml:space="preserve">Dar al-Ifta: Strict, protective approach</w:t>
      </w:r>
    </w:p>
    <w:p>
      <w:pPr>
        <w:numPr>
          <w:ilvl w:val="1"/>
          <w:numId w:val="1093"/>
        </w:numPr>
        <w:pStyle w:val="Compact"/>
      </w:pPr>
      <w:r>
        <w:t xml:space="preserve">Taqi Usmani: Adaptive, innovation-friendly approach</w:t>
      </w:r>
    </w:p>
    <w:p>
      <w:pPr>
        <w:numPr>
          <w:ilvl w:val="1"/>
          <w:numId w:val="1093"/>
        </w:numPr>
        <w:pStyle w:val="Compact"/>
      </w:pPr>
      <w:r>
        <w:t xml:space="preserve">AAOIFI: Institutional consensus-building approach</w:t>
      </w:r>
    </w:p>
    <w:p>
      <w:pPr>
        <w:numPr>
          <w:ilvl w:val="1"/>
          <w:numId w:val="1093"/>
        </w:numPr>
        <w:pStyle w:val="Compact"/>
      </w:pPr>
      <w:r>
        <w:t xml:space="preserve">MUI: Regulatory guidance approach</w:t>
      </w:r>
    </w:p>
    <w:p>
      <w:pPr>
        <w:numPr>
          <w:ilvl w:val="0"/>
          <w:numId w:val="1092"/>
        </w:numPr>
        <w:pStyle w:val="Compact"/>
      </w:pPr>
      <w:r>
        <w:rPr>
          <w:bCs/>
          <w:b/>
        </w:rPr>
        <w:t xml:space="preserve">Risk Assessment</w:t>
      </w:r>
    </w:p>
    <w:p>
      <w:pPr>
        <w:numPr>
          <w:ilvl w:val="1"/>
          <w:numId w:val="1094"/>
        </w:numPr>
        <w:pStyle w:val="Compact"/>
      </w:pPr>
      <w:r>
        <w:t xml:space="preserve">Dar al-Ifta emphasizes protecting ordinary Muslims from speculation</w:t>
      </w:r>
    </w:p>
    <w:p>
      <w:pPr>
        <w:numPr>
          <w:ilvl w:val="1"/>
          <w:numId w:val="1094"/>
        </w:numPr>
        <w:pStyle w:val="Compact"/>
      </w:pPr>
      <w:r>
        <w:t xml:space="preserve">Taqi Usmani emphasizes enabling legitimate innovation</w:t>
      </w:r>
    </w:p>
    <w:p>
      <w:pPr>
        <w:numPr>
          <w:ilvl w:val="1"/>
          <w:numId w:val="1094"/>
        </w:numPr>
        <w:pStyle w:val="Compact"/>
      </w:pPr>
      <w:r>
        <w:t xml:space="preserve">AAOIFI balances institutional safety with accessibility</w:t>
      </w:r>
    </w:p>
    <w:p>
      <w:pPr>
        <w:numPr>
          <w:ilvl w:val="1"/>
          <w:numId w:val="1094"/>
        </w:numPr>
        <w:pStyle w:val="Compact"/>
      </w:pPr>
      <w:r>
        <w:t xml:space="preserve">MUI emphasizes regulatory coordination</w:t>
      </w:r>
    </w:p>
    <w:p>
      <w:pPr>
        <w:numPr>
          <w:ilvl w:val="0"/>
          <w:numId w:val="1092"/>
        </w:numPr>
        <w:pStyle w:val="Compact"/>
      </w:pPr>
      <w:r>
        <w:rPr>
          <w:bCs/>
          <w:b/>
        </w:rPr>
        <w:t xml:space="preserve">Time of Issuance</w:t>
      </w:r>
    </w:p>
    <w:p>
      <w:pPr>
        <w:numPr>
          <w:ilvl w:val="1"/>
          <w:numId w:val="1095"/>
        </w:numPr>
        <w:pStyle w:val="Compact"/>
      </w:pPr>
      <w:r>
        <w:t xml:space="preserve">Dar al-Ifta (2017): Earlier, more speculative market</w:t>
      </w:r>
    </w:p>
    <w:p>
      <w:pPr>
        <w:numPr>
          <w:ilvl w:val="1"/>
          <w:numId w:val="1095"/>
        </w:numPr>
        <w:pStyle w:val="Compact"/>
      </w:pPr>
      <w:r>
        <w:t xml:space="preserve">MUI (2021): Larger institutional adoption</w:t>
      </w:r>
    </w:p>
    <w:p>
      <w:pPr>
        <w:numPr>
          <w:ilvl w:val="1"/>
          <w:numId w:val="1095"/>
        </w:numPr>
        <w:pStyle w:val="Compact"/>
      </w:pPr>
      <w:r>
        <w:t xml:space="preserve">AAOIFI (2023): Market maturation with better structured products</w:t>
      </w:r>
    </w:p>
    <w:p>
      <w:pPr>
        <w:numPr>
          <w:ilvl w:val="1"/>
          <w:numId w:val="1095"/>
        </w:numPr>
        <w:pStyle w:val="Compact"/>
      </w:pPr>
      <w:r>
        <w:t xml:space="preserve">Taqi Usmani (2024): Recognition of stablecoin and asset-backed alternatives</w:t>
      </w:r>
    </w:p>
    <w:p>
      <w:pPr>
        <w:pStyle w:val="FirstParagraph"/>
      </w:pPr>
      <w:r>
        <w:rPr>
          <w:bCs/>
          <w:b/>
        </w:rPr>
        <w:t xml:space="preserve">DIVERGENCE 2: Treatment of Emerging Alternatives</w:t>
      </w:r>
    </w:p>
    <w:p>
      <w:pPr>
        <w:pStyle w:val="SourceCode"/>
      </w:pPr>
      <w:r>
        <w:rPr>
          <w:rStyle w:val="VerbatimChar"/>
        </w:rPr>
        <w:t xml:space="preserve">POSITION ON STABLECOINS</w:t>
      </w:r>
      <w:r>
        <w:br/>
      </w:r>
      <w:r>
        <w:rPr>
          <w:rStyle w:val="VerbatimChar"/>
        </w:rPr>
        <w:t xml:space="preserve">═════════════════════════════════════════════════════════════</w:t>
      </w:r>
      <w:r>
        <w:br/>
      </w:r>
      <w:r>
        <w:br/>
      </w:r>
      <w:r>
        <w:rPr>
          <w:rStyle w:val="VerbatimChar"/>
        </w:rPr>
        <w:t xml:space="preserve">Dar al-Ifta         AAOIFI      MUI        Taqi Usmani</w:t>
      </w:r>
      <w:r>
        <w:br/>
      </w:r>
      <w:r>
        <w:rPr>
          <w:rStyle w:val="VerbatimChar"/>
        </w:rPr>
        <w:t xml:space="preserve">NOT ADDRESSED       CONDITIONAL CONDITIONAL PERMISSIBLE</w:t>
      </w:r>
      <w:r>
        <w:br/>
      </w:r>
      <w:r>
        <w:rPr>
          <w:rStyle w:val="VerbatimChar"/>
        </w:rPr>
        <w:t xml:space="preserve">(Focuses on         (Requires   (Not yet   (if Properly</w:t>
      </w:r>
      <w:r>
        <w:br/>
      </w:r>
      <w:r>
        <w:rPr>
          <w:rStyle w:val="VerbatimChar"/>
        </w:rPr>
        <w:t xml:space="preserve">pure crypto)        full        clearly    Structured)</w:t>
      </w:r>
      <w:r>
        <w:br/>
      </w:r>
      <w:r>
        <w:rPr>
          <w:rStyle w:val="VerbatimChar"/>
        </w:rPr>
        <w:t xml:space="preserve">                    backing)    addressed)</w:t>
      </w:r>
      <w:r>
        <w:br/>
      </w:r>
      <w:r>
        <w:br/>
      </w:r>
      <w:r>
        <w:rPr>
          <w:rStyle w:val="VerbatimChar"/>
        </w:rPr>
        <w:t xml:space="preserve">1/5 Compliance  3/5 Compliance 2/5 Compliance 4.5/5 Compliance</w:t>
      </w:r>
    </w:p>
    <w:p>
      <w:pPr>
        <w:pStyle w:val="FirstParagraph"/>
      </w:pPr>
      <w:r>
        <w:rPr>
          <w:bCs/>
          <w:b/>
        </w:rPr>
        <w:t xml:space="preserve">DIVERGENCE 3: DeFi and Smart Contracts</w:t>
      </w:r>
    </w:p>
    <w:p>
      <w:pPr>
        <w:pStyle w:val="SourceCode"/>
      </w:pPr>
      <w:r>
        <w:rPr>
          <w:rStyle w:val="VerbatimChar"/>
        </w:rPr>
        <w:t xml:space="preserve">POSITION ON DEFI</w:t>
      </w:r>
      <w:r>
        <w:br/>
      </w:r>
      <w:r>
        <w:rPr>
          <w:rStyle w:val="VerbatimChar"/>
        </w:rPr>
        <w:t xml:space="preserve">═════════════════════════════════════════════════════════════</w:t>
      </w:r>
      <w:r>
        <w:br/>
      </w:r>
      <w:r>
        <w:br/>
      </w:r>
      <w:r>
        <w:rPr>
          <w:rStyle w:val="VerbatimChar"/>
        </w:rPr>
        <w:t xml:space="preserve">Dar al-Ifta         ❌ NOT ADDRESSED</w:t>
      </w:r>
      <w:r>
        <w:br/>
      </w:r>
      <w:r>
        <w:rPr>
          <w:rStyle w:val="VerbatimChar"/>
        </w:rPr>
        <w:t xml:space="preserve">(No specific position on DeFi applications)</w:t>
      </w:r>
      <w:r>
        <w:br/>
      </w:r>
      <w:r>
        <w:br/>
      </w:r>
      <w:r>
        <w:rPr>
          <w:rStyle w:val="VerbatimChar"/>
        </w:rPr>
        <w:t xml:space="preserve">AAOIFI              ⚠️ CASE-BY-CASE</w:t>
      </w:r>
      <w:r>
        <w:br/>
      </w:r>
      <w:r>
        <w:rPr>
          <w:rStyle w:val="VerbatimChar"/>
        </w:rPr>
        <w:t xml:space="preserve">(Evaluate underlying asset and profit-sharing mechanism)</w:t>
      </w:r>
      <w:r>
        <w:br/>
      </w:r>
      <w:r>
        <w:br/>
      </w:r>
      <w:r>
        <w:rPr>
          <w:rStyle w:val="VerbatimChar"/>
        </w:rPr>
        <w:t xml:space="preserve">MUI                 ❌ NOT ADDRESSED  </w:t>
      </w:r>
      <w:r>
        <w:br/>
      </w:r>
      <w:r>
        <w:rPr>
          <w:rStyle w:val="VerbatimChar"/>
        </w:rPr>
        <w:t xml:space="preserve">(Focuses on cryptocurrency, not applications)</w:t>
      </w:r>
      <w:r>
        <w:br/>
      </w:r>
      <w:r>
        <w:br/>
      </w:r>
      <w:r>
        <w:rPr>
          <w:rStyle w:val="VerbatimChar"/>
        </w:rPr>
        <w:t xml:space="preserve">Taqi Usmani         ⚠️ REQUIRES DETAILED ANALYSIS</w:t>
      </w:r>
      <w:r>
        <w:br/>
      </w:r>
      <w:r>
        <w:rPr>
          <w:rStyle w:val="VerbatimChar"/>
        </w:rPr>
        <w:t xml:space="preserve">(Potentially permissible if structured as Islamic contract)</w:t>
      </w:r>
    </w:p>
    <w:p>
      <w:pPr>
        <w:pStyle w:val="FirstParagraph"/>
      </w:pPr>
      <w:r>
        <w:rPr>
          <w:bCs/>
          <w:b/>
        </w:rPr>
        <w:t xml:space="preserve">Key Difference:</w:t>
      </w:r>
      <w:r>
        <w:t xml:space="preserve"> </w:t>
      </w:r>
      <w:r>
        <w:t xml:space="preserve">- Dar al-Ifta: Categorical prohibition approach</w:t>
      </w:r>
      <w:r>
        <w:t xml:space="preserve"> </w:t>
      </w:r>
      <w:r>
        <w:t xml:space="preserve">- Taqi Usmani: Analytical, case-by-case evaluation approach</w:t>
      </w:r>
      <w:r>
        <w:t xml:space="preserve"> </w:t>
      </w:r>
      <w:r>
        <w:t xml:space="preserve">- AAOIFI: Institutional framework approach</w:t>
      </w:r>
      <w:r>
        <w:t xml:space="preserve"> </w:t>
      </w:r>
      <w:r>
        <w:t xml:space="preserve">- MUI: Regulatory classification approach</w:t>
      </w:r>
    </w:p>
    <w:bookmarkEnd w:id="176"/>
    <w:bookmarkStart w:id="177" w:name="X0fcadb09dac6e3f4fd97b479f1d0922f43be927"/>
    <w:p>
      <w:pPr>
        <w:pStyle w:val="Heading3"/>
      </w:pPr>
      <w:r>
        <w:t xml:space="preserve">3.5.3 Scholarly Disagreement: Areas of Legitimate Dispute</w:t>
      </w:r>
    </w:p>
    <w:p>
      <w:pPr>
        <w:pStyle w:val="FirstParagraph"/>
      </w:pPr>
      <w:r>
        <w:t xml:space="preserve">Islamic jurisprudence recognizes</w:t>
      </w:r>
      <w:r>
        <w:t xml:space="preserve"> </w:t>
      </w:r>
      <w:r>
        <w:t xml:space="preserve">“</w:t>
      </w:r>
      <w:r>
        <w:t xml:space="preserve">ikhtilaf</w:t>
      </w:r>
      <w:r>
        <w:t xml:space="preserve">”</w:t>
      </w:r>
      <w:r>
        <w:t xml:space="preserve"> </w:t>
      </w:r>
      <w:r>
        <w:t xml:space="preserve">(scholarly disagreement) as legitimate when qualified scholars differ on valid grounds. Several areas represent legitimate jurisprudential disagreement:</w:t>
      </w:r>
    </w:p>
    <w:p>
      <w:pPr>
        <w:pStyle w:val="BodyText"/>
      </w:pPr>
      <w:r>
        <w:rPr>
          <w:bCs/>
          <w:b/>
        </w:rPr>
        <w:t xml:space="preserve">Disagreement Area 1: Intrinsic Value Requirement</w:t>
      </w:r>
    </w:p>
    <w:p>
      <w:pPr>
        <w:pStyle w:val="BodyText"/>
      </w:pPr>
      <w:r>
        <w:rPr>
          <w:iCs/>
          <w:i/>
        </w:rPr>
        <w:t xml:space="preserve">Position 1 (Dar al-Ifta):</w:t>
      </w:r>
      <w:r>
        <w:t xml:space="preserve"> </w:t>
      </w:r>
      <w:r>
        <w:t xml:space="preserve">“</w:t>
      </w:r>
      <w:r>
        <w:t xml:space="preserve">Cryptocurrency must have intrinsic value or productive backing to be shariah-compliant.</w:t>
      </w:r>
      <w:r>
        <w:t xml:space="preserve">”</w:t>
      </w:r>
    </w:p>
    <w:p>
      <w:pPr>
        <w:pStyle w:val="BodyText"/>
      </w:pPr>
      <w:r>
        <w:rPr>
          <w:iCs/>
          <w:i/>
        </w:rPr>
        <w:t xml:space="preserve">Position 2 (Taqi Usmani):</w:t>
      </w:r>
      <w:r>
        <w:t xml:space="preserve"> </w:t>
      </w:r>
      <w:r>
        <w:t xml:space="preserve">“</w:t>
      </w:r>
      <w:r>
        <w:t xml:space="preserve">If cryptocurrency facilitates legitimate economic activity (like fiat currency or medium of exchange), intrinsic value may not be required.</w:t>
      </w:r>
      <w:r>
        <w:t xml:space="preserve">”</w:t>
      </w:r>
    </w:p>
    <w:p>
      <w:pPr>
        <w:pStyle w:val="BodyText"/>
      </w:pPr>
      <w:r>
        <w:rPr>
          <w:iCs/>
          <w:i/>
        </w:rPr>
        <w:t xml:space="preserve">Legal Precedent:</w:t>
      </w:r>
      <w:r>
        <w:t xml:space="preserve"> </w:t>
      </w:r>
      <w:r>
        <w:t xml:space="preserve">Classical Islamic jurisprudence on fiat money differs: some argue fiat money itself lacks intrinsic value but remains permissible due to social consensus and governmental backing.</w:t>
      </w:r>
    </w:p>
    <w:p>
      <w:pPr>
        <w:pStyle w:val="BodyText"/>
      </w:pPr>
      <w:r>
        <w:rPr>
          <w:iCs/>
          <w:i/>
        </w:rPr>
        <w:t xml:space="preserve">Modern Application:</w:t>
      </w:r>
      <w:r>
        <w:t xml:space="preserve"> </w:t>
      </w:r>
      <w:r>
        <w:t xml:space="preserve">Does social consensus (Bitcoin widely accepted) substitute for governmental backing?</w:t>
      </w:r>
    </w:p>
    <w:p>
      <w:pPr>
        <w:pStyle w:val="BodyText"/>
      </w:pPr>
      <w:r>
        <w:rPr>
          <w:bCs/>
          <w:b/>
        </w:rPr>
        <w:t xml:space="preserve">Disagreement Area 2: Technology Innovation and Adaptation</w:t>
      </w:r>
    </w:p>
    <w:p>
      <w:pPr>
        <w:pStyle w:val="BodyText"/>
      </w:pPr>
      <w:r>
        <w:rPr>
          <w:iCs/>
          <w:i/>
        </w:rPr>
        <w:t xml:space="preserve">Position 1 (Dar al-Ifta):</w:t>
      </w:r>
      <w:r>
        <w:t xml:space="preserve"> </w:t>
      </w:r>
      <w:r>
        <w:t xml:space="preserve">“</w:t>
      </w:r>
      <w:r>
        <w:t xml:space="preserve">Classical Islamic principles are sufficient; innovation that appears to contradict classical principles is impermissible.</w:t>
      </w:r>
      <w:r>
        <w:t xml:space="preserve">”</w:t>
      </w:r>
    </w:p>
    <w:p>
      <w:pPr>
        <w:pStyle w:val="BodyText"/>
      </w:pPr>
      <w:r>
        <w:rPr>
          <w:iCs/>
          <w:i/>
        </w:rPr>
        <w:t xml:space="preserve">Position 2 (Taqi Usmani):</w:t>
      </w:r>
      <w:r>
        <w:t xml:space="preserve"> </w:t>
      </w:r>
      <w:r>
        <w:t xml:space="preserve">“</w:t>
      </w:r>
      <w:r>
        <w:t xml:space="preserve">Genuine technological innovation requires reassessment of whether classical principles apply or require adaptation.</w:t>
      </w:r>
      <w:r>
        <w:t xml:space="preserve">”</w:t>
      </w:r>
    </w:p>
    <w:p>
      <w:pPr>
        <w:pStyle w:val="BodyText"/>
      </w:pPr>
      <w:r>
        <w:rPr>
          <w:iCs/>
          <w:i/>
        </w:rPr>
        <w:t xml:space="preserve">Legal Precedent:</w:t>
      </w:r>
      <w:r>
        <w:t xml:space="preserve"> </w:t>
      </w:r>
      <w:r>
        <w:t xml:space="preserve">Historical Islamic jurisprudence adapted to new technologies (paper money, banking systems, corporate structures).</w:t>
      </w:r>
    </w:p>
    <w:p>
      <w:pPr>
        <w:pStyle w:val="BodyText"/>
      </w:pPr>
      <w:r>
        <w:rPr>
          <w:bCs/>
          <w:b/>
        </w:rPr>
        <w:t xml:space="preserve">Disagreement Area 3: Risk Tolerance and Investor Protection</w:t>
      </w:r>
    </w:p>
    <w:p>
      <w:pPr>
        <w:pStyle w:val="BodyText"/>
      </w:pPr>
      <w:r>
        <w:rPr>
          <w:iCs/>
          <w:i/>
        </w:rPr>
        <w:t xml:space="preserve">Position 1 (Dar al-Ifta, MUI):</w:t>
      </w:r>
      <w:r>
        <w:t xml:space="preserve"> </w:t>
      </w:r>
      <w:r>
        <w:t xml:space="preserve">“</w:t>
      </w:r>
      <w:r>
        <w:t xml:space="preserve">Islamic law prioritizes protecting ordinary Muslims; speculative products should be prohibited to prevent harm.</w:t>
      </w:r>
      <w:r>
        <w:t xml:space="preserve">”</w:t>
      </w:r>
    </w:p>
    <w:p>
      <w:pPr>
        <w:pStyle w:val="BodyText"/>
      </w:pPr>
      <w:r>
        <w:rPr>
          <w:iCs/>
          <w:i/>
        </w:rPr>
        <w:t xml:space="preserve">Position 2 (Taqi Usmani, AAOIFI):</w:t>
      </w:r>
      <w:r>
        <w:t xml:space="preserve"> </w:t>
      </w:r>
      <w:r>
        <w:t xml:space="preserve">“</w:t>
      </w:r>
      <w:r>
        <w:t xml:space="preserve">Islamic law permits innovation; investor sophistication and risk disclosure are appropriate safeguards.</w:t>
      </w:r>
      <w:r>
        <w:t xml:space="preserve">”</w:t>
      </w:r>
    </w:p>
    <w:p>
      <w:pPr>
        <w:pStyle w:val="BodyText"/>
      </w:pPr>
      <w:r>
        <w:rPr>
          <w:iCs/>
          <w:i/>
        </w:rPr>
        <w:t xml:space="preserve">Legal Basis:</w:t>
      </w:r>
      <w:r>
        <w:t xml:space="preserve"> </w:t>
      </w:r>
      <w:r>
        <w:t xml:space="preserve">Classical Islamic jurisprudence permits complex financial structures for sophisticated participants while protecting vulnerable populations.</w:t>
      </w:r>
    </w:p>
    <w:p>
      <w:pPr>
        <w:pStyle w:val="BodyText"/>
      </w:pPr>
      <w:r>
        <w:rPr>
          <w:bCs/>
          <w:b/>
        </w:rPr>
        <w:t xml:space="preserve">Disagreement Area 4: The Categorical-Prohibition Thesis Itself</w:t>
      </w:r>
    </w:p>
    <w:p>
      <w:pPr>
        <w:pStyle w:val="BodyText"/>
      </w:pPr>
      <w:r>
        <w:t xml:space="preserve">The three preceding disagreements assume that cryptocurrency admits of degrees of compliance. The most fundamental</w:t>
      </w:r>
      <w:r>
        <w:t xml:space="preserve"> </w:t>
      </w:r>
      <w:r>
        <w:rPr>
          <w:iCs/>
          <w:i/>
        </w:rPr>
        <w:t xml:space="preserve">ikhtilaf</w:t>
      </w:r>
      <w:r>
        <w:t xml:space="preserve">, however, is whether that assumption is itself permissible—whether pure cryptocurrency is</w:t>
      </w:r>
      <w:r>
        <w:t xml:space="preserve"> </w:t>
      </w:r>
      <w:r>
        <w:rPr>
          <w:iCs/>
          <w:i/>
        </w:rPr>
        <w:t xml:space="preserve">categorically</w:t>
      </w:r>
      <w:r>
        <w:t xml:space="preserve"> </w:t>
      </w:r>
      <w:r>
        <w:t xml:space="preserve">void (</w:t>
      </w:r>
      <w:r>
        <w:rPr>
          <w:iCs/>
          <w:i/>
        </w:rPr>
        <w:t xml:space="preserve">batil</w:t>
      </w:r>
      <w:r>
        <w:t xml:space="preserve">) rather than merely deficient. Because this dissertation’s five-dimensional framework (Chapter 5) presupposes gradation, the strongest form of the categorical objection must be stated here before it is engaged.</w:t>
      </w:r>
    </w:p>
    <w:p>
      <w:pPr>
        <w:pStyle w:val="BodyText"/>
      </w:pPr>
      <w:r>
        <w:rPr>
          <w:iCs/>
          <w:i/>
        </w:rPr>
        <w:t xml:space="preserve">Position 1 (Dar al-Ifta 2017; MUI 2021 on pure crypto; the strict camp, including the 2017 Diyanet ruling in Turkey):</w:t>
      </w:r>
      <w:r>
        <w:t xml:space="preserve"> </w:t>
      </w:r>
      <w:r>
        <w:t xml:space="preserve">Pure cryptocurrency is</w:t>
      </w:r>
      <w:r>
        <w:t xml:space="preserve"> </w:t>
      </w:r>
      <w:r>
        <w:rPr>
          <w:iCs/>
          <w:i/>
        </w:rPr>
        <w:t xml:space="preserve">haram</w:t>
      </w:r>
      <w:r>
        <w:t xml:space="preserve"> </w:t>
      </w:r>
      <w:r>
        <w:t xml:space="preserve">as such, on textually proximate grounds rather than inferential</w:t>
      </w:r>
      <w:r>
        <w:t xml:space="preserve"> </w:t>
      </w:r>
      <w:r>
        <w:rPr>
          <w:iCs/>
          <w:i/>
        </w:rPr>
        <w:t xml:space="preserve">maslaha</w:t>
      </w:r>
      <w:r>
        <w:t xml:space="preserve">. The argument is a syllogism: (i) legitimate</w:t>
      </w:r>
      <w:r>
        <w:t xml:space="preserve"> </w:t>
      </w:r>
      <w:r>
        <w:rPr>
          <w:iCs/>
          <w:i/>
        </w:rPr>
        <w:t xml:space="preserve">mal</w:t>
      </w:r>
      <w:r>
        <w:t xml:space="preserve"> </w:t>
      </w:r>
      <w:r>
        <w:t xml:space="preserve">requires intrinsic value, productive backing, or recognised authority (§3.2.3); (ii) pure cryptocurrency has none; (iii) its dominant realised function is speculation—</w:t>
      </w:r>
      <w:r>
        <w:rPr>
          <w:iCs/>
          <w:i/>
        </w:rPr>
        <w:t xml:space="preserve">maisir</w:t>
      </w:r>
      <w:r>
        <w:t xml:space="preserve"> </w:t>
      </w:r>
      <w:r>
        <w:t xml:space="preserve">under severe</w:t>
      </w:r>
      <w:r>
        <w:t xml:space="preserve"> </w:t>
      </w:r>
      <w:r>
        <w:rPr>
          <w:iCs/>
          <w:i/>
        </w:rPr>
        <w:t xml:space="preserve">gharar</w:t>
      </w:r>
      <w:r>
        <w:t xml:space="preserve">, falling under the explicit prohibition of Qur’an 5:90 and the authenticated</w:t>
      </w:r>
      <w:r>
        <w:t xml:space="preserve"> </w:t>
      </w:r>
      <w:r>
        <w:rPr>
          <w:iCs/>
          <w:i/>
        </w:rPr>
        <w:t xml:space="preserve">hadith</w:t>
      </w:r>
      <w:r>
        <w:t xml:space="preserve"> </w:t>
      </w:r>
      <w:r>
        <w:t xml:space="preserve">against sale of an indeterminate object. On this reading a</w:t>
      </w:r>
      <w:r>
        <w:t xml:space="preserve"> </w:t>
      </w:r>
      <w:r>
        <w:rPr>
          <w:iCs/>
          <w:i/>
        </w:rPr>
        <w:t xml:space="preserve">compliance gradient is incoherent</w:t>
      </w:r>
      <w:r>
        <w:t xml:space="preserve">: one cannot be partially engaged in a void contract. This position claims the firmest footing in explicit prohibitory texts (</w:t>
      </w:r>
      <w:r>
        <w:rPr>
          <w:iCs/>
          <w:i/>
        </w:rPr>
        <w:t xml:space="preserve">nusus</w:t>
      </w:r>
      <w:r>
        <w:t xml:space="preserve">) and the fewest inferential steps.</w:t>
      </w:r>
    </w:p>
    <w:p>
      <w:pPr>
        <w:pStyle w:val="BodyText"/>
      </w:pPr>
      <w:r>
        <w:rPr>
          <w:iCs/>
          <w:i/>
        </w:rPr>
        <w:t xml:space="preserve">Position 2 (AAOIFI 2023; Taqi Usmani 2024; the graded-assessment camp adopted by this dissertation):</w:t>
      </w:r>
      <w:r>
        <w:t xml:space="preserve"> </w:t>
      </w:r>
      <w:r>
        <w:t xml:space="preserve">The prohibition of speculative</w:t>
      </w:r>
      <w:r>
        <w:t xml:space="preserve"> </w:t>
      </w:r>
      <w:r>
        <w:rPr>
          <w:iCs/>
          <w:i/>
        </w:rPr>
        <w:t xml:space="preserve">use</w:t>
      </w:r>
      <w:r>
        <w:t xml:space="preserve"> </w:t>
      </w:r>
      <w:r>
        <w:t xml:space="preserve">is conceded, but the inference from</w:t>
      </w:r>
      <w:r>
        <w:t xml:space="preserve"> </w:t>
      </w:r>
      <w:r>
        <w:rPr>
          <w:iCs/>
          <w:i/>
        </w:rPr>
        <w:t xml:space="preserve">some</w:t>
      </w:r>
      <w:r>
        <w:t xml:space="preserve"> </w:t>
      </w:r>
      <w:r>
        <w:t xml:space="preserve">prohibited uses to a</w:t>
      </w:r>
      <w:r>
        <w:t xml:space="preserve"> </w:t>
      </w:r>
      <w:r>
        <w:rPr>
          <w:iCs/>
          <w:i/>
        </w:rPr>
        <w:t xml:space="preserve">universal</w:t>
      </w:r>
      <w:r>
        <w:t xml:space="preserve"> </w:t>
      </w:r>
      <w:r>
        <w:t xml:space="preserve">prohibition of the asset class is rejected.</w:t>
      </w:r>
      <w:r>
        <w:t xml:space="preserve"> </w:t>
      </w:r>
      <w:r>
        <w:rPr>
          <w:iCs/>
          <w:i/>
        </w:rPr>
        <w:t xml:space="preserve">Mal</w:t>
      </w:r>
      <w:r>
        <w:t xml:space="preserve">-status rests on customary, storable benefit—as it did for fiat and</w:t>
      </w:r>
      <w:r>
        <w:t xml:space="preserve"> </w:t>
      </w:r>
      <w:r>
        <w:rPr>
          <w:iCs/>
          <w:i/>
        </w:rPr>
        <w:t xml:space="preserve">fulus</w:t>
      </w:r>
      <w:r>
        <w:t xml:space="preserve">, which lack intrinsic value yet are valid</w:t>
      </w:r>
      <w:r>
        <w:t xml:space="preserve"> </w:t>
      </w:r>
      <w:r>
        <w:rPr>
          <w:iCs/>
          <w:i/>
        </w:rPr>
        <w:t xml:space="preserve">thaman</w:t>
      </w:r>
      <w:r>
        <w:t xml:space="preserve">—so premise (i) proves too much.</w:t>
      </w:r>
      <w:r>
        <w:t xml:space="preserve"> </w:t>
      </w:r>
      <w:r>
        <w:rPr>
          <w:iCs/>
          <w:i/>
        </w:rPr>
        <w:t xml:space="preserve">Gharar</w:t>
      </w:r>
      <w:r>
        <w:t xml:space="preserve"> </w:t>
      </w:r>
      <w:r>
        <w:t xml:space="preserve">and</w:t>
      </w:r>
      <w:r>
        <w:t xml:space="preserve"> </w:t>
      </w:r>
      <w:r>
        <w:rPr>
          <w:iCs/>
          <w:i/>
        </w:rPr>
        <w:t xml:space="preserve">maisir</w:t>
      </w:r>
      <w:r>
        <w:t xml:space="preserve"> </w:t>
      </w:r>
      <w:r>
        <w:t xml:space="preserve">attach to the transaction, not the token (</w:t>
      </w:r>
      <w:r>
        <w:rPr>
          <w:iCs/>
          <w:i/>
        </w:rPr>
        <w:t xml:space="preserve">tahqiq al-manat</w:t>
      </w:r>
      <w:r>
        <w:t xml:space="preserve">), so the operative cause must be verified case by case rather than presumed for the whole class. Decisively, the strict authorities themselves carve out exceptions (blockchain applications, commodity classification, structured stablecoins), which refutes true categoricality and relocates the dispute to</w:t>
      </w:r>
      <w:r>
        <w:t xml:space="preserve"> </w:t>
      </w:r>
      <w:r>
        <w:rPr>
          <w:iCs/>
          <w:i/>
        </w:rPr>
        <w:t xml:space="preserve">where the line falls</w:t>
      </w:r>
      <w:r>
        <w:t xml:space="preserve">.</w:t>
      </w:r>
    </w:p>
    <w:p>
      <w:pPr>
        <w:pStyle w:val="BodyText"/>
      </w:pPr>
      <w:r>
        <w:rPr>
          <w:iCs/>
          <w:i/>
        </w:rPr>
        <w:t xml:space="preserve">Methodological root:</w:t>
      </w:r>
      <w:r>
        <w:t xml:space="preserve"> </w:t>
      </w:r>
      <w:r>
        <w:t xml:space="preserve">This is a divergence in</w:t>
      </w:r>
      <w:r>
        <w:t xml:space="preserve"> </w:t>
      </w:r>
      <w:r>
        <w:rPr>
          <w:iCs/>
          <w:i/>
        </w:rPr>
        <w:t xml:space="preserve">usul al-fiqh</w:t>
      </w:r>
      <w:r>
        <w:t xml:space="preserve">, not merely in conclusion: Position 1 reasons from</w:t>
      </w:r>
      <w:r>
        <w:t xml:space="preserve"> </w:t>
      </w:r>
      <w:r>
        <w:rPr>
          <w:iCs/>
          <w:i/>
        </w:rPr>
        <w:t xml:space="preserve">sadd al-dhara’i</w:t>
      </w:r>
      <w:r>
        <w:t xml:space="preserve"> </w:t>
      </w:r>
      <w:r>
        <w:t xml:space="preserve">and a presumption of invalidity until a novel instrument is affirmatively validated; Position 2 reasons from</w:t>
      </w:r>
      <w:r>
        <w:t xml:space="preserve"> </w:t>
      </w:r>
      <w:r>
        <w:rPr>
          <w:iCs/>
          <w:i/>
        </w:rPr>
        <w:t xml:space="preserve">al-asl fi al-muamalat al-ibaha</w:t>
      </w:r>
      <w:r>
        <w:t xml:space="preserve"> </w:t>
      </w:r>
      <w:r>
        <w:t xml:space="preserve">disciplined by</w:t>
      </w:r>
      <w:r>
        <w:t xml:space="preserve"> </w:t>
      </w:r>
      <w:r>
        <w:rPr>
          <w:iCs/>
          <w:i/>
        </w:rPr>
        <w:t xml:space="preserve">tahqiq al-manat</w:t>
      </w:r>
      <w:r>
        <w:t xml:space="preserve">. The full steelman-and-rebuttal of the categorical thesis—showing how the framework bounds rather than dismisses it—is developed in §5.5.5.</w:t>
      </w:r>
    </w:p>
    <w:p>
      <w:r>
        <w:pict>
          <v:rect style="width:0;height:1.5pt" o:hralign="center" o:hrstd="t" o:hr="t"/>
        </w:pict>
      </w:r>
    </w:p>
    <w:bookmarkEnd w:id="177"/>
    <w:bookmarkEnd w:id="178"/>
    <w:bookmarkStart w:id="182" w:name="evolution-of-jurisprudential-thought"/>
    <w:p>
      <w:pPr>
        <w:pStyle w:val="Heading2"/>
      </w:pPr>
      <w:r>
        <w:t xml:space="preserve">3.6 Evolution of Jurisprudential Thought</w:t>
      </w:r>
    </w:p>
    <w:bookmarkStart w:id="179" w:name="timeline-of-islamic-positions-2017-2026"/>
    <w:p>
      <w:pPr>
        <w:pStyle w:val="Heading3"/>
      </w:pPr>
      <w:r>
        <w:t xml:space="preserve">3.6.1 Timeline of Islamic Positions (2017-2026)</w:t>
      </w:r>
    </w:p>
    <w:p>
      <w:pPr>
        <w:pStyle w:val="SourceCode"/>
      </w:pPr>
      <w:r>
        <w:rPr>
          <w:rStyle w:val="VerbatimChar"/>
        </w:rPr>
        <w:t xml:space="preserve">EVOLUTION OF ISLAMIC CRYPTOCURRENCY POSITIONS</w:t>
      </w:r>
      <w:r>
        <w:br/>
      </w:r>
      <w:r>
        <w:rPr>
          <w:rStyle w:val="VerbatimChar"/>
        </w:rPr>
        <w:t xml:space="preserve">═════════════════════════════════════════════════════════════</w:t>
      </w:r>
      <w:r>
        <w:br/>
      </w:r>
      <w:r>
        <w:br/>
      </w:r>
      <w:r>
        <w:rPr>
          <w:rStyle w:val="VerbatimChar"/>
        </w:rPr>
        <w:t xml:space="preserve">2017: Dar al-Ifta Egypt</w:t>
      </w:r>
      <w:r>
        <w:br/>
      </w:r>
      <w:r>
        <w:rPr>
          <w:rStyle w:val="VerbatimChar"/>
        </w:rPr>
        <w:t xml:space="preserve">      ↓</w:t>
      </w:r>
      <w:r>
        <w:br/>
      </w:r>
      <w:r>
        <w:rPr>
          <w:rStyle w:val="VerbatimChar"/>
        </w:rPr>
        <w:t xml:space="preserve">      "Cryptocurrency is haram; categorically prohibited"</w:t>
      </w:r>
      <w:r>
        <w:br/>
      </w:r>
      <w:r>
        <w:rPr>
          <w:rStyle w:val="VerbatimChar"/>
        </w:rPr>
        <w:t xml:space="preserve">      (Strict protective position)</w:t>
      </w:r>
      <w:r>
        <w:br/>
      </w:r>
      <w:r>
        <w:rPr>
          <w:rStyle w:val="VerbatimChar"/>
        </w:rPr>
        <w:t xml:space="preserve">      </w:t>
      </w:r>
      <w:r>
        <w:br/>
      </w:r>
      <w:r>
        <w:rPr>
          <w:rStyle w:val="VerbatimChar"/>
        </w:rPr>
        <w:t xml:space="preserve">2019: Taqi Usmani (Earlier)</w:t>
      </w:r>
      <w:r>
        <w:br/>
      </w:r>
      <w:r>
        <w:rPr>
          <w:rStyle w:val="VerbatimChar"/>
        </w:rPr>
        <w:t xml:space="preserve">      ↓</w:t>
      </w:r>
      <w:r>
        <w:br/>
      </w:r>
      <w:r>
        <w:rPr>
          <w:rStyle w:val="VerbatimChar"/>
        </w:rPr>
        <w:t xml:space="preserve">      "Pure cryptocurrency not shariah-compliant"</w:t>
      </w:r>
      <w:r>
        <w:br/>
      </w:r>
      <w:r>
        <w:rPr>
          <w:rStyle w:val="VerbatimChar"/>
        </w:rPr>
        <w:t xml:space="preserve">      (Very restrictive position)</w:t>
      </w:r>
      <w:r>
        <w:br/>
      </w:r>
      <w:r>
        <w:rPr>
          <w:rStyle w:val="VerbatimChar"/>
        </w:rPr>
        <w:t xml:space="preserve">      </w:t>
      </w:r>
      <w:r>
        <w:br/>
      </w:r>
      <w:r>
        <w:rPr>
          <w:rStyle w:val="VerbatimChar"/>
        </w:rPr>
        <w:t xml:space="preserve">2021: MUI Indonesia  </w:t>
      </w:r>
      <w:r>
        <w:br/>
      </w:r>
      <w:r>
        <w:rPr>
          <w:rStyle w:val="VerbatimChar"/>
        </w:rPr>
        <w:t xml:space="preserve">      ↓</w:t>
      </w:r>
      <w:r>
        <w:br/>
      </w:r>
      <w:r>
        <w:rPr>
          <w:rStyle w:val="VerbatimChar"/>
        </w:rPr>
        <w:t xml:space="preserve">      "Classified as speculative commodity; haram"</w:t>
      </w:r>
      <w:r>
        <w:br/>
      </w:r>
      <w:r>
        <w:rPr>
          <w:rStyle w:val="VerbatimChar"/>
        </w:rPr>
        <w:t xml:space="preserve">      (Position B: Regulatory classification approach)</w:t>
      </w:r>
      <w:r>
        <w:br/>
      </w:r>
      <w:r>
        <w:rPr>
          <w:rStyle w:val="VerbatimChar"/>
        </w:rPr>
        <w:t xml:space="preserve">      </w:t>
      </w:r>
      <w:r>
        <w:br/>
      </w:r>
      <w:r>
        <w:rPr>
          <w:rStyle w:val="VerbatimChar"/>
        </w:rPr>
        <w:t xml:space="preserve">2023: AAOIFI</w:t>
      </w:r>
      <w:r>
        <w:br/>
      </w:r>
      <w:r>
        <w:rPr>
          <w:rStyle w:val="VerbatimChar"/>
        </w:rPr>
        <w:t xml:space="preserve">      ↓</w:t>
      </w:r>
      <w:r>
        <w:br/>
      </w:r>
      <w:r>
        <w:rPr>
          <w:rStyle w:val="VerbatimChar"/>
        </w:rPr>
        <w:t xml:space="preserve">      "Pure crypto not compliant; asset-backed potentially permissible"</w:t>
      </w:r>
      <w:r>
        <w:br/>
      </w:r>
      <w:r>
        <w:rPr>
          <w:rStyle w:val="VerbatimChar"/>
        </w:rPr>
        <w:t xml:space="preserve">      (Nuanced institutional framework)</w:t>
      </w:r>
      <w:r>
        <w:br/>
      </w:r>
      <w:r>
        <w:rPr>
          <w:rStyle w:val="VerbatimChar"/>
        </w:rPr>
        <w:t xml:space="preserve">      </w:t>
      </w:r>
      <w:r>
        <w:br/>
      </w:r>
      <w:r>
        <w:rPr>
          <w:rStyle w:val="VerbatimChar"/>
        </w:rPr>
        <w:t xml:space="preserve">2024: Taqi Usmani (Current)</w:t>
      </w:r>
      <w:r>
        <w:br/>
      </w:r>
      <w:r>
        <w:rPr>
          <w:rStyle w:val="VerbatimChar"/>
        </w:rPr>
        <w:t xml:space="preserve">      ↓</w:t>
      </w:r>
      <w:r>
        <w:br/>
      </w:r>
      <w:r>
        <w:rPr>
          <w:rStyle w:val="VerbatimChar"/>
        </w:rPr>
        <w:t xml:space="preserve">      "Pure crypto not compliant; stablecoins and asset-backed potentially permissible"</w:t>
      </w:r>
      <w:r>
        <w:br/>
      </w:r>
      <w:r>
        <w:rPr>
          <w:rStyle w:val="VerbatimChar"/>
        </w:rPr>
        <w:t xml:space="preserve">      (Recognition of evolved market)</w:t>
      </w:r>
      <w:r>
        <w:br/>
      </w:r>
      <w:r>
        <w:br/>
      </w:r>
      <w:r>
        <w:rPr>
          <w:rStyle w:val="VerbatimChar"/>
        </w:rPr>
        <w:t xml:space="preserve">2025: OJK-DSN-MUI Joint Working Group Established (September 2025)</w:t>
      </w:r>
      <w:r>
        <w:br/>
      </w:r>
      <w:r>
        <w:rPr>
          <w:rStyle w:val="VerbatimChar"/>
        </w:rPr>
        <w:t xml:space="preserve">      ↓</w:t>
      </w:r>
      <w:r>
        <w:br/>
      </w:r>
      <w:r>
        <w:rPr>
          <w:rStyle w:val="VerbatimChar"/>
        </w:rPr>
        <w:t xml:space="preserve">      Coordinated Shariah Screening Framework Development</w:t>
      </w:r>
      <w:r>
        <w:br/>
      </w:r>
      <w:r>
        <w:rPr>
          <w:rStyle w:val="VerbatimChar"/>
        </w:rPr>
        <w:t xml:space="preserve">      (Bridging MUI fatwa with regulatory reality)</w:t>
      </w:r>
      <w:r>
        <w:br/>
      </w:r>
      <w:r>
        <w:br/>
      </w:r>
      <w:r>
        <w:rPr>
          <w:rStyle w:val="VerbatimChar"/>
        </w:rPr>
        <w:t xml:space="preserve">2026: MUI Expected Revision (Q2-Q3 2026 - Currently in progress)</w:t>
      </w:r>
      <w:r>
        <w:br/>
      </w:r>
      <w:r>
        <w:rPr>
          <w:rStyle w:val="VerbatimChar"/>
        </w:rPr>
        <w:t xml:space="preserve">      ↓</w:t>
      </w:r>
      <w:r>
        <w:br/>
      </w:r>
      <w:r>
        <w:rPr>
          <w:rStyle w:val="VerbatimChar"/>
        </w:rPr>
        <w:t xml:space="preserve">      "Shift from categorical prohibition to conditional permissibility"</w:t>
      </w:r>
      <w:r>
        <w:br/>
      </w:r>
      <w:r>
        <w:rPr>
          <w:rStyle w:val="VerbatimChar"/>
        </w:rPr>
        <w:t xml:space="preserve">      (Position C: Regulatory framework acknowledgment)</w:t>
      </w:r>
      <w:r>
        <w:br/>
      </w:r>
      <w:r>
        <w:rPr>
          <w:rStyle w:val="VerbatimChar"/>
        </w:rPr>
        <w:t xml:space="preserve">      Alignment with POJK No. 27/2024 and POJK No. 23/2025</w:t>
      </w:r>
      <w:r>
        <w:br/>
      </w:r>
      <w:r>
        <w:rPr>
          <w:rStyle w:val="VerbatimChar"/>
        </w:rPr>
        <w:t xml:space="preserve">      </w:t>
      </w:r>
      <w:r>
        <w:br/>
      </w:r>
      <w:r>
        <w:rPr>
          <w:rStyle w:val="VerbatimChar"/>
        </w:rPr>
        <w:t xml:space="preserve">═════════════════════════════════════════════════════════════</w:t>
      </w:r>
      <w:r>
        <w:br/>
      </w:r>
      <w:r>
        <w:rPr>
          <w:rStyle w:val="VerbatimChar"/>
        </w:rPr>
        <w:t xml:space="preserve">TREND: Clear movement from categorical prohibition (2017) toward </w:t>
      </w:r>
      <w:r>
        <w:br/>
      </w:r>
      <w:r>
        <w:rPr>
          <w:rStyle w:val="VerbatimChar"/>
        </w:rPr>
        <w:t xml:space="preserve">       nuanced conditional assessment (2026) as market matures </w:t>
      </w:r>
      <w:r>
        <w:br/>
      </w:r>
      <w:r>
        <w:rPr>
          <w:rStyle w:val="VerbatimChar"/>
        </w:rPr>
        <w:t xml:space="preserve">       and regulatory frameworks operationalize Shariah principles.</w:t>
      </w:r>
      <w:r>
        <w:br/>
      </w:r>
      <w:r>
        <w:rPr>
          <w:rStyle w:val="VerbatimChar"/>
        </w:rPr>
        <w:t xml:space="preserve">       </w:t>
      </w:r>
      <w:r>
        <w:br/>
      </w:r>
      <w:r>
        <w:rPr>
          <w:rStyle w:val="VerbatimChar"/>
        </w:rPr>
        <w:t xml:space="preserve">KEY DEVELOPMENT: MUI position shift (2021→2026) demonstrates </w:t>
      </w:r>
      <w:r>
        <w:br/>
      </w:r>
      <w:r>
        <w:rPr>
          <w:rStyle w:val="VerbatimChar"/>
        </w:rPr>
        <w:t xml:space="preserve">jurisprudential evolution responding to institutional regulatory </w:t>
      </w:r>
      <w:r>
        <w:br/>
      </w:r>
      <w:r>
        <w:rPr>
          <w:rStyle w:val="VerbatimChar"/>
        </w:rPr>
        <w:t xml:space="preserve">frameworks incorporating Islamic principles.</w:t>
      </w:r>
    </w:p>
    <w:bookmarkEnd w:id="179"/>
    <w:bookmarkStart w:id="180" w:name="factors-driving-evolution-2017-2026"/>
    <w:p>
      <w:pPr>
        <w:pStyle w:val="Heading3"/>
      </w:pPr>
      <w:r>
        <w:t xml:space="preserve">3.6.2 Factors Driving Evolution (2017-2026)</w:t>
      </w:r>
    </w:p>
    <w:p>
      <w:pPr>
        <w:pStyle w:val="FirstParagraph"/>
      </w:pPr>
      <w:r>
        <w:rPr>
          <w:bCs/>
          <w:b/>
        </w:rPr>
        <w:t xml:space="preserve">Factor 1: Market Evolution</w:t>
      </w:r>
      <w:r>
        <w:t xml:space="preserve"> </w:t>
      </w:r>
      <w:r>
        <w:t xml:space="preserve">- 2017: Bitcoin primarily speculative (90%+ of activity)</w:t>
      </w:r>
      <w:r>
        <w:t xml:space="preserve"> </w:t>
      </w:r>
      <w:r>
        <w:t xml:space="preserve">- 2024: Emergence of stablecoins, institutional adoption, utility applications</w:t>
      </w:r>
      <w:r>
        <w:t xml:space="preserve"> </w:t>
      </w:r>
      <w:r>
        <w:t xml:space="preserve">- 2025-2026: Regulatory frameworks operationalizing Shariah principles (POJK No. 27/2024, CBB rulebook, VARA framework)</w:t>
      </w:r>
      <w:r>
        <w:t xml:space="preserve"> </w:t>
      </w:r>
      <w:r>
        <w:t xml:space="preserve">- More sophisticated products enable more nuanced assessment</w:t>
      </w:r>
    </w:p>
    <w:p>
      <w:pPr>
        <w:pStyle w:val="BodyText"/>
      </w:pPr>
      <w:r>
        <w:rPr>
          <w:bCs/>
          <w:b/>
        </w:rPr>
        <w:t xml:space="preserve">Factor 2: Technological Understanding</w:t>
      </w:r>
      <w:r>
        <w:t xml:space="preserve"> </w:t>
      </w:r>
      <w:r>
        <w:t xml:space="preserve">- Early scholarship lacked deep blockchain understanding</w:t>
      </w:r>
      <w:r>
        <w:t xml:space="preserve"> </w:t>
      </w:r>
      <w:r>
        <w:t xml:space="preserve">- 2023-2024: Evolved to sophisticated technical analysis of DeFi, stablecoins, asset-backed tokens</w:t>
      </w:r>
      <w:r>
        <w:t xml:space="preserve"> </w:t>
      </w:r>
      <w:r>
        <w:t xml:space="preserve">- Recognition of blockchain’s legitimate applications beyond speculation</w:t>
      </w:r>
      <w:r>
        <w:t xml:space="preserve"> </w:t>
      </w:r>
      <w:r>
        <w:t xml:space="preserve">- 2025-2026: Understanding of regulatory technology (RegTech) enabling Shariah compliance</w:t>
      </w:r>
    </w:p>
    <w:p>
      <w:pPr>
        <w:pStyle w:val="BodyText"/>
      </w:pPr>
      <w:r>
        <w:rPr>
          <w:bCs/>
          <w:b/>
        </w:rPr>
        <w:t xml:space="preserve">Factor 3: Institutional Adoption and Regulatory Frameworks</w:t>
      </w:r>
      <w:r>
        <w:t xml:space="preserve"> </w:t>
      </w:r>
      <w:r>
        <w:t xml:space="preserve">- Traditional financial institutions adopting blockchain</w:t>
      </w:r>
      <w:r>
        <w:t xml:space="preserve"> </w:t>
      </w:r>
      <w:r>
        <w:t xml:space="preserve">- Islamic banks exploring cryptocurrency applications</w:t>
      </w:r>
      <w:r>
        <w:t xml:space="preserve"> </w:t>
      </w:r>
      <w:r>
        <w:t xml:space="preserve">- 2024-2025: Comprehensive regulatory frameworks developed (Malaysia BNM, Bahrain CBB, UAE VARA, Indonesia OJK)</w:t>
      </w:r>
      <w:r>
        <w:t xml:space="preserve"> </w:t>
      </w:r>
      <w:r>
        <w:t xml:space="preserve">- Market maturation enabling systematic assessment</w:t>
      </w:r>
      <w:r>
        <w:t xml:space="preserve"> </w:t>
      </w:r>
      <w:r>
        <w:t xml:space="preserve">- 2025-2026: Regulatory bodies and Islamic authorities coordinating (OJK-DSN-MUI joint working group)</w:t>
      </w:r>
    </w:p>
    <w:p>
      <w:pPr>
        <w:pStyle w:val="BodyText"/>
      </w:pPr>
      <w:r>
        <w:rPr>
          <w:bCs/>
          <w:b/>
        </w:rPr>
        <w:t xml:space="preserve">Factor 4: Jurisprudential Development</w:t>
      </w:r>
      <w:r>
        <w:t xml:space="preserve"> </w:t>
      </w:r>
      <w:r>
        <w:t xml:space="preserve">- Maqasid Shariah methodology increasingly sophisticated</w:t>
      </w:r>
      <w:r>
        <w:t xml:space="preserve"> </w:t>
      </w:r>
      <w:r>
        <w:t xml:space="preserve">- Classical principles increasingly applied to modern context</w:t>
      </w:r>
      <w:r>
        <w:t xml:space="preserve"> </w:t>
      </w:r>
      <w:r>
        <w:t xml:space="preserve">- Scholarly consensus emerging on framework while disagreement on specifics remains</w:t>
      </w:r>
      <w:r>
        <w:t xml:space="preserve"> </w:t>
      </w:r>
      <w:r>
        <w:t xml:space="preserve">- 2025-2026: Integration of regulatory compliance with Islamic jurisprudence</w:t>
      </w:r>
      <w:r>
        <w:t xml:space="preserve"> </w:t>
      </w:r>
      <w:r>
        <w:t xml:space="preserve">- Shift toward</w:t>
      </w:r>
      <w:r>
        <w:t xml:space="preserve"> </w:t>
      </w:r>
      <w:r>
        <w:t xml:space="preserve">“</w:t>
      </w:r>
      <w:r>
        <w:t xml:space="preserve">assessment framework</w:t>
      </w:r>
      <w:r>
        <w:t xml:space="preserve">”</w:t>
      </w:r>
      <w:r>
        <w:t xml:space="preserve"> </w:t>
      </w:r>
      <w:r>
        <w:t xml:space="preserve">rather than categorical prohibition</w:t>
      </w:r>
    </w:p>
    <w:p>
      <w:pPr>
        <w:pStyle w:val="BodyText"/>
      </w:pPr>
      <w:r>
        <w:rPr>
          <w:bCs/>
          <w:b/>
        </w:rPr>
        <w:t xml:space="preserve">Factor 5: Institutional Pressure for Harmonization</w:t>
      </w:r>
      <w:r>
        <w:t xml:space="preserve"> </w:t>
      </w:r>
      <w:r>
        <w:t xml:space="preserve">- 2025: Establishment of OJK-DSN-MUI joint working group (September 2025)</w:t>
      </w:r>
      <w:r>
        <w:t xml:space="preserve"> </w:t>
      </w:r>
      <w:r>
        <w:t xml:space="preserve">- Recognition that MUI fatwa prohibition conflicts with regulatory permissibility</w:t>
      </w:r>
      <w:r>
        <w:t xml:space="preserve"> </w:t>
      </w:r>
      <w:r>
        <w:t xml:space="preserve">- Government request for MUI clarification given OJK regulatory development</w:t>
      </w:r>
      <w:r>
        <w:t xml:space="preserve"> </w:t>
      </w:r>
      <w:r>
        <w:t xml:space="preserve">- Expected outcome: Institutional alignment reducing jurisprudential-regulatory gap</w:t>
      </w:r>
    </w:p>
    <w:bookmarkEnd w:id="180"/>
    <w:bookmarkStart w:id="181" w:name="X5db2fa326cca7792a074ff958f5542aa9232641"/>
    <w:p>
      <w:pPr>
        <w:pStyle w:val="Heading3"/>
      </w:pPr>
      <w:r>
        <w:t xml:space="preserve">3.6.3 Direction of Jurisprudential Development (2017-2026)</w:t>
      </w:r>
    </w:p>
    <w:p>
      <w:pPr>
        <w:pStyle w:val="FirstParagraph"/>
      </w:pPr>
      <w:r>
        <w:rPr>
          <w:bCs/>
          <w:b/>
        </w:rPr>
        <w:t xml:space="preserve">Emerging Consensus Elements (As of February 2026):</w:t>
      </w:r>
    </w:p>
    <w:p>
      <w:pPr>
        <w:numPr>
          <w:ilvl w:val="0"/>
          <w:numId w:val="1096"/>
        </w:numPr>
        <w:pStyle w:val="Compact"/>
      </w:pPr>
      <w:r>
        <w:rPr>
          <w:bCs/>
          <w:b/>
        </w:rPr>
        <w:t xml:space="preserve">Pure Cryptocurrency:</w:t>
      </w:r>
      <w:r>
        <w:t xml:space="preserve"> </w:t>
      </w:r>
      <w:r>
        <w:t xml:space="preserve">Likely permanent prohibition for pure volatile crypto (universal consensus)</w:t>
      </w:r>
    </w:p>
    <w:p>
      <w:pPr>
        <w:numPr>
          <w:ilvl w:val="0"/>
          <w:numId w:val="1096"/>
        </w:numPr>
        <w:pStyle w:val="Compact"/>
      </w:pPr>
      <w:r>
        <w:rPr>
          <w:bCs/>
          <w:b/>
        </w:rPr>
        <w:t xml:space="preserve">Asset-Backed Alternatives:</w:t>
      </w:r>
      <w:r>
        <w:t xml:space="preserve"> </w:t>
      </w:r>
      <w:r>
        <w:t xml:space="preserve">Increasing recognition as potentially compliant (consensus trend)</w:t>
      </w:r>
    </w:p>
    <w:p>
      <w:pPr>
        <w:numPr>
          <w:ilvl w:val="0"/>
          <w:numId w:val="1096"/>
        </w:numPr>
        <w:pStyle w:val="Compact"/>
      </w:pPr>
      <w:r>
        <w:rPr>
          <w:bCs/>
          <w:b/>
        </w:rPr>
        <w:t xml:space="preserve">Stablecoins:</w:t>
      </w:r>
      <w:r>
        <w:t xml:space="preserve"> </w:t>
      </w:r>
      <w:r>
        <w:t xml:space="preserve">Growing recognition as potentially shariah-compliant (emerging consensus)</w:t>
      </w:r>
    </w:p>
    <w:p>
      <w:pPr>
        <w:numPr>
          <w:ilvl w:val="0"/>
          <w:numId w:val="1096"/>
        </w:numPr>
        <w:pStyle w:val="Compact"/>
      </w:pPr>
      <w:r>
        <w:rPr>
          <w:bCs/>
          <w:b/>
        </w:rPr>
        <w:t xml:space="preserve">Smart Contracts:</w:t>
      </w:r>
      <w:r>
        <w:t xml:space="preserve"> </w:t>
      </w:r>
      <w:r>
        <w:t xml:space="preserve">Emerging jurisprudence on application-specific evaluation (AAOIFI, Taqi Usmani)</w:t>
      </w:r>
    </w:p>
    <w:p>
      <w:pPr>
        <w:numPr>
          <w:ilvl w:val="0"/>
          <w:numId w:val="1096"/>
        </w:numPr>
        <w:pStyle w:val="Compact"/>
      </w:pPr>
      <w:r>
        <w:rPr>
          <w:bCs/>
          <w:b/>
        </w:rPr>
        <w:t xml:space="preserve">Blockchain Technology:</w:t>
      </w:r>
      <w:r>
        <w:t xml:space="preserve"> </w:t>
      </w:r>
      <w:r>
        <w:t xml:space="preserve">Clear distinction between prohibited applications and permissible uses (full consensus)</w:t>
      </w:r>
    </w:p>
    <w:p>
      <w:pPr>
        <w:numPr>
          <w:ilvl w:val="0"/>
          <w:numId w:val="1096"/>
        </w:numPr>
        <w:pStyle w:val="Compact"/>
      </w:pPr>
      <w:r>
        <w:rPr>
          <w:bCs/>
          <w:b/>
        </w:rPr>
        <w:t xml:space="preserve">Regulatory Integration:</w:t>
      </w:r>
      <w:r>
        <w:t xml:space="preserve"> </w:t>
      </w:r>
      <w:r>
        <w:t xml:space="preserve">New consensus emerging that institutional regulatory frameworks operationalizing Shariah principles enhance Islamic compliance assessment (OJK-DSN-MUI model)</w:t>
      </w:r>
    </w:p>
    <w:p>
      <w:pPr>
        <w:pStyle w:val="FirstParagraph"/>
      </w:pPr>
      <w:r>
        <w:rPr>
          <w:bCs/>
          <w:b/>
        </w:rPr>
        <w:t xml:space="preserve">Convergence Catalyst: Regulatory Framework Integration</w:t>
      </w:r>
      <w:r>
        <w:t xml:space="preserve"> </w:t>
      </w:r>
      <w:r>
        <w:t xml:space="preserve">The most significant development (2025-2026) is the establishment of OJK-DSN-MUI joint working group, demonstrating that:</w:t>
      </w:r>
      <w:r>
        <w:t xml:space="preserve"> </w:t>
      </w:r>
      <w:r>
        <w:t xml:space="preserve">- Institutional regulatory frameworks can operationalize Shariah principles</w:t>
      </w:r>
      <w:r>
        <w:t xml:space="preserve"> </w:t>
      </w:r>
      <w:r>
        <w:t xml:space="preserve">- Islamic authorities increasingly coordinate with financial regulators</w:t>
      </w:r>
      <w:r>
        <w:t xml:space="preserve"> </w:t>
      </w:r>
      <w:r>
        <w:t xml:space="preserve">- Fatwa evolution can align with regulatory development</w:t>
      </w:r>
      <w:r>
        <w:t xml:space="preserve"> </w:t>
      </w:r>
      <w:r>
        <w:t xml:space="preserve">- Jurisprudential reassessment occurs when regulatory frameworks demonstrate how to address Shariah concerns</w:t>
      </w:r>
    </w:p>
    <w:p>
      <w:pPr>
        <w:pStyle w:val="BodyText"/>
      </w:pPr>
      <w:r>
        <w:rPr>
          <w:bCs/>
          <w:b/>
        </w:rPr>
        <w:t xml:space="preserve">Future Trajectory (2026 Onward):</w:t>
      </w:r>
      <w:r>
        <w:t xml:space="preserve"> </w:t>
      </w:r>
      <w:r>
        <w:t xml:space="preserve">Islamic jurisprudence is moving toward:</w:t>
      </w:r>
      <w:r>
        <w:t xml:space="preserve"> </w:t>
      </w:r>
      <w:r>
        <w:t xml:space="preserve">- Conditional permissibility for properly-structured digital assets (Position C becoming dominant)</w:t>
      </w:r>
      <w:r>
        <w:t xml:space="preserve"> </w:t>
      </w:r>
      <w:r>
        <w:t xml:space="preserve">- Sophisticated assessment frameworks integrating regulatory compliance with Shariah principles</w:t>
      </w:r>
      <w:r>
        <w:t xml:space="preserve"> </w:t>
      </w:r>
      <w:r>
        <w:t xml:space="preserve">- Institutional coordination between Shariah boards and regulators</w:t>
      </w:r>
      <w:r>
        <w:t xml:space="preserve"> </w:t>
      </w:r>
      <w:r>
        <w:t xml:space="preserve">- Distinguishing between speculative and productive uses through regulatory design</w:t>
      </w:r>
      <w:r>
        <w:t xml:space="preserve"> </w:t>
      </w:r>
      <w:r>
        <w:t xml:space="preserve">- Integration of blockchain into Islamic finance ecosystem through compliance frameworks</w:t>
      </w:r>
      <w:r>
        <w:t xml:space="preserve"> </w:t>
      </w:r>
      <w:r>
        <w:t xml:space="preserve">- Progressive shift from prohibition-based to framework-based jurisprudence</w:t>
      </w:r>
    </w:p>
    <w:p>
      <w:r>
        <w:pict>
          <v:rect style="width:0;height:1.5pt" o:hralign="center" o:hrstd="t" o:hr="t"/>
        </w:pict>
      </w:r>
    </w:p>
    <w:bookmarkEnd w:id="181"/>
    <w:bookmarkEnd w:id="182"/>
    <w:bookmarkStart w:id="185" w:name="comparative-jurisprudential-framework"/>
    <w:p>
      <w:pPr>
        <w:pStyle w:val="Heading2"/>
      </w:pPr>
      <w:r>
        <w:t xml:space="preserve">3.7 Comparative Jurisprudential Framework</w:t>
      </w:r>
    </w:p>
    <w:bookmarkStart w:id="183" w:name="position-comparison-table"/>
    <w:p>
      <w:pPr>
        <w:pStyle w:val="Heading3"/>
      </w:pPr>
      <w:r>
        <w:t xml:space="preserve">3.7.1 Position Comparison Table</w:t>
      </w:r>
    </w:p>
    <w:p>
      <w:pPr>
        <w:pStyle w:val="SourceCode"/>
      </w:pPr>
      <w:r>
        <w:rPr>
          <w:rStyle w:val="VerbatimChar"/>
        </w:rPr>
        <w:t xml:space="preserve">COMPREHENSIVE JURISPRUDENTIAL COMPARISON (As of February 2026)</w:t>
      </w:r>
      <w:r>
        <w:br/>
      </w:r>
      <w:r>
        <w:rPr>
          <w:rStyle w:val="VerbatimChar"/>
        </w:rPr>
        <w:t xml:space="preserve">═════════════════════════════════════════════════════════════════════════════</w:t>
      </w:r>
      <w:r>
        <w:br/>
      </w:r>
      <w:r>
        <w:br/>
      </w:r>
      <w:r>
        <w:rPr>
          <w:rStyle w:val="VerbatimChar"/>
        </w:rPr>
        <w:t xml:space="preserve">Dimension           AAOIFI      Dar al-Ifta    Taqi Usmani    MUI (2021)    MUI (Expected 2026)</w:t>
      </w:r>
      <w:r>
        <w:br/>
      </w:r>
      <w:r>
        <w:rPr>
          <w:rStyle w:val="VerbatimChar"/>
        </w:rPr>
        <w:t xml:space="preserve">────────────────────────────────────────────────────────────────────────────────────────────────</w:t>
      </w:r>
      <w:r>
        <w:br/>
      </w:r>
      <w:r>
        <w:rPr>
          <w:rStyle w:val="VerbatimChar"/>
        </w:rPr>
        <w:t xml:space="preserve">Pure Crypto         ❌ NO       ❌ HARAM        ❌ NO          ❌ HARAM      ⚠️ CONDITIONAL</w:t>
      </w:r>
      <w:r>
        <w:br/>
      </w:r>
      <w:r>
        <w:rPr>
          <w:rStyle w:val="VerbatimChar"/>
        </w:rPr>
        <w:t xml:space="preserve">Position            (1/5)       (Categorical)  (1/5)          (Commodity)   (Pending fatwa)</w:t>
      </w:r>
      <w:r>
        <w:br/>
      </w:r>
      <w:r>
        <w:br/>
      </w:r>
      <w:r>
        <w:rPr>
          <w:rStyle w:val="VerbatimChar"/>
        </w:rPr>
        <w:t xml:space="preserve">Asset-Backed        ⚠️ YES      ❌ NO           ✅ POTENTIAL   ⚠️ UNCLEAR    ✅ LIKELY YES</w:t>
      </w:r>
      <w:r>
        <w:br/>
      </w:r>
      <w:r>
        <w:rPr>
          <w:rStyle w:val="VerbatimChar"/>
        </w:rPr>
        <w:t xml:space="preserve">Crypto              (4/5)       (Exception:    (4/5)          (2/5)         (3.5/5)</w:t>
      </w:r>
      <w:r>
        <w:br/>
      </w:r>
      <w:r>
        <w:rPr>
          <w:rStyle w:val="VerbatimChar"/>
        </w:rPr>
        <w:t xml:space="preserve">                                blockchain)</w:t>
      </w:r>
      <w:r>
        <w:br/>
      </w:r>
      <w:r>
        <w:br/>
      </w:r>
      <w:r>
        <w:rPr>
          <w:rStyle w:val="VerbatimChar"/>
        </w:rPr>
        <w:t xml:space="preserve">Stablecoins         ⚠️ YES      ❌ NO           ✅ POTENTIAL   ⚠️ UNCLEAR    ✅ LIKELY YES</w:t>
      </w:r>
      <w:r>
        <w:br/>
      </w:r>
      <w:r>
        <w:rPr>
          <w:rStyle w:val="VerbatimChar"/>
        </w:rPr>
        <w:t xml:space="preserve">                    (4.5/5)     (Not addressed)(4.5/5)        (2/5)         (4/5)</w:t>
      </w:r>
      <w:r>
        <w:br/>
      </w:r>
      <w:r>
        <w:br/>
      </w:r>
      <w:r>
        <w:rPr>
          <w:rStyle w:val="VerbatimChar"/>
        </w:rPr>
        <w:t xml:space="preserve">DeFi/Smart          ⚠️ CASE     ❌ NO           ⚠️ CASE        ❌ NO         ⚠️ CASE-BY-CASE</w:t>
      </w:r>
      <w:r>
        <w:br/>
      </w:r>
      <w:r>
        <w:rPr>
          <w:rStyle w:val="VerbatimChar"/>
        </w:rPr>
        <w:t xml:space="preserve">Contracts           BY CASE     (Not suited)   BY CASE        (Not addr.)   (Pending framework)</w:t>
      </w:r>
      <w:r>
        <w:br/>
      </w:r>
      <w:r>
        <w:br/>
      </w:r>
      <w:r>
        <w:rPr>
          <w:rStyle w:val="VerbatimChar"/>
        </w:rPr>
        <w:t xml:space="preserve">Blockchain Tech     ✅ YES      ✅ YES          ✅ YES         ✅ YES        ✅ YES</w:t>
      </w:r>
      <w:r>
        <w:br/>
      </w:r>
      <w:r>
        <w:rPr>
          <w:rStyle w:val="VerbatimChar"/>
        </w:rPr>
        <w:t xml:space="preserve">(non-financial)     (Permitted) (Permitted)    (Permitted)    (Permitted)   (Permitted)</w:t>
      </w:r>
      <w:r>
        <w:br/>
      </w:r>
      <w:r>
        <w:br/>
      </w:r>
      <w:r>
        <w:rPr>
          <w:rStyle w:val="VerbatimChar"/>
        </w:rPr>
        <w:t xml:space="preserve">Overall Approach    Institutional Protective  Adaptive       Regulatory    Institutional</w:t>
      </w:r>
      <w:r>
        <w:br/>
      </w:r>
      <w:r>
        <w:rPr>
          <w:rStyle w:val="VerbatimChar"/>
        </w:rPr>
        <w:t xml:space="preserve">                    Framework    Standard     Innovation     Guidance      + Regulatory</w:t>
      </w:r>
      <w:r>
        <w:br/>
      </w:r>
      <w:r>
        <w:rPr>
          <w:rStyle w:val="VerbatimChar"/>
        </w:rPr>
        <w:t xml:space="preserve">                                                                           Integration</w:t>
      </w:r>
      <w:r>
        <w:br/>
      </w:r>
      <w:r>
        <w:rPr>
          <w:rStyle w:val="VerbatimChar"/>
        </w:rPr>
        <w:t xml:space="preserve">────────────────────────────────────────────────────────────────────────────────────────────────</w:t>
      </w:r>
      <w:r>
        <w:br/>
      </w:r>
      <w:r>
        <w:rPr>
          <w:rStyle w:val="VerbatimChar"/>
        </w:rPr>
        <w:t xml:space="preserve">Permissibility      Very         Highly        Conditional   Restrictive   Conditional</w:t>
      </w:r>
      <w:r>
        <w:br/>
      </w:r>
      <w:r>
        <w:rPr>
          <w:rStyle w:val="VerbatimChar"/>
        </w:rPr>
        <w:t xml:space="preserve">Level               Restrictive  Restrictive   Permissive                  (Similar to Taqi</w:t>
      </w:r>
      <w:r>
        <w:br/>
      </w:r>
      <w:r>
        <w:rPr>
          <w:rStyle w:val="VerbatimChar"/>
        </w:rPr>
        <w:t xml:space="preserve">                                                                           Usmani 2024)</w:t>
      </w:r>
      <w:r>
        <w:br/>
      </w:r>
      <w:r>
        <w:br/>
      </w:r>
      <w:r>
        <w:rPr>
          <w:rStyle w:val="VerbatimChar"/>
        </w:rPr>
        <w:t xml:space="preserve">Time Frame          2023         2017          2024           2021          2026 (Expected)</w:t>
      </w:r>
      <w:r>
        <w:br/>
      </w:r>
      <w:r>
        <w:rPr>
          <w:rStyle w:val="VerbatimChar"/>
        </w:rPr>
        <w:t xml:space="preserve">────────────────────────────────────────────────────────────────────────────────────────────────</w:t>
      </w:r>
      <w:r>
        <w:br/>
      </w:r>
      <w:r>
        <w:rPr>
          <w:rStyle w:val="VerbatimChar"/>
        </w:rPr>
        <w:t xml:space="preserve">Status              Current      Current       Current        Current       Under revision</w:t>
      </w:r>
      <w:r>
        <w:br/>
      </w:r>
      <w:r>
        <w:rPr>
          <w:rStyle w:val="VerbatimChar"/>
        </w:rPr>
        <w:t xml:space="preserve">                                                              (Historical)  (OJK-DSN-MUI WG)</w:t>
      </w:r>
      <w:r>
        <w:br/>
      </w:r>
      <w:r>
        <w:br/>
      </w:r>
      <w:r>
        <w:rPr>
          <w:rStyle w:val="VerbatimChar"/>
        </w:rPr>
        <w:t xml:space="preserve">Note: MUI position expected to shift from Position B (categorical prohibition/2021) to Position C</w:t>
      </w:r>
      <w:r>
        <w:br/>
      </w:r>
      <w:r>
        <w:rPr>
          <w:rStyle w:val="VerbatimChar"/>
        </w:rPr>
        <w:t xml:space="preserve">(conditional permissibility/2026) pending completion of joint OJK-DSN-MUI Shariah screening </w:t>
      </w:r>
      <w:r>
        <w:br/>
      </w:r>
      <w:r>
        <w:rPr>
          <w:rStyle w:val="VerbatimChar"/>
        </w:rPr>
        <w:t xml:space="preserve">framework (target Q2-Q3 2026).</w:t>
      </w:r>
    </w:p>
    <w:bookmarkEnd w:id="183"/>
    <w:bookmarkStart w:id="184" w:name="authority-profiles"/>
    <w:p>
      <w:pPr>
        <w:pStyle w:val="Heading3"/>
      </w:pPr>
      <w:r>
        <w:t xml:space="preserve">3.7.2 Authority Profiles</w:t>
      </w:r>
    </w:p>
    <w:p>
      <w:pPr>
        <w:pStyle w:val="FirstParagraph"/>
      </w:pPr>
      <w:r>
        <w:rPr>
          <w:bCs/>
          <w:b/>
        </w:rPr>
        <w:t xml:space="preserve">AAOIFI (Institutional Authority)</w:t>
      </w:r>
      <w:r>
        <w:t xml:space="preserve"> </w:t>
      </w:r>
      <w:r>
        <w:t xml:space="preserve">-</w:t>
      </w:r>
      <w:r>
        <w:t xml:space="preserve"> </w:t>
      </w:r>
      <w:r>
        <w:rPr>
          <w:bCs/>
          <w:b/>
        </w:rPr>
        <w:t xml:space="preserve">Strength:</w:t>
      </w:r>
      <w:r>
        <w:t xml:space="preserve"> </w:t>
      </w:r>
      <w:r>
        <w:t xml:space="preserve">International institutional consensus, widely adopted standards</w:t>
      </w:r>
      <w:r>
        <w:t xml:space="preserve"> </w:t>
      </w:r>
      <w:r>
        <w:t xml:space="preserve">-</w:t>
      </w:r>
      <w:r>
        <w:t xml:space="preserve"> </w:t>
      </w:r>
      <w:r>
        <w:rPr>
          <w:bCs/>
          <w:b/>
        </w:rPr>
        <w:t xml:space="preserve">Approach:</w:t>
      </w:r>
      <w:r>
        <w:t xml:space="preserve"> </w:t>
      </w:r>
      <w:r>
        <w:t xml:space="preserve">Balances institutional safety with flexibility</w:t>
      </w:r>
      <w:r>
        <w:t xml:space="preserve"> </w:t>
      </w:r>
      <w:r>
        <w:t xml:space="preserve">-</w:t>
      </w:r>
      <w:r>
        <w:t xml:space="preserve"> </w:t>
      </w:r>
      <w:r>
        <w:rPr>
          <w:bCs/>
          <w:b/>
        </w:rPr>
        <w:t xml:space="preserve">Best For:</w:t>
      </w:r>
      <w:r>
        <w:t xml:space="preserve"> </w:t>
      </w:r>
      <w:r>
        <w:t xml:space="preserve">Islamic banks and institutional frameworks</w:t>
      </w:r>
      <w:r>
        <w:t xml:space="preserve"> </w:t>
      </w:r>
      <w:r>
        <w:t xml:space="preserve">-</w:t>
      </w:r>
      <w:r>
        <w:t xml:space="preserve"> </w:t>
      </w:r>
      <w:r>
        <w:rPr>
          <w:bCs/>
          <w:b/>
        </w:rPr>
        <w:t xml:space="preserve">Limitation:</w:t>
      </w:r>
      <w:r>
        <w:t xml:space="preserve"> </w:t>
      </w:r>
      <w:r>
        <w:t xml:space="preserve">Developed for institutional, not retail, guidance</w:t>
      </w:r>
    </w:p>
    <w:p>
      <w:pPr>
        <w:pStyle w:val="BodyText"/>
      </w:pPr>
      <w:r>
        <w:rPr>
          <w:bCs/>
          <w:b/>
        </w:rPr>
        <w:t xml:space="preserve">Dar al-Ifta (Protective Authority)</w:t>
      </w:r>
      <w:r>
        <w:t xml:space="preserve"> </w:t>
      </w:r>
      <w:r>
        <w:t xml:space="preserve">-</w:t>
      </w:r>
      <w:r>
        <w:t xml:space="preserve"> </w:t>
      </w:r>
      <w:r>
        <w:rPr>
          <w:bCs/>
          <w:b/>
        </w:rPr>
        <w:t xml:space="preserve">Strength:</w:t>
      </w:r>
      <w:r>
        <w:t xml:space="preserve"> </w:t>
      </w:r>
      <w:r>
        <w:t xml:space="preserve">Clear guidance, protective of vulnerable populations</w:t>
      </w:r>
      <w:r>
        <w:t xml:space="preserve"> </w:t>
      </w:r>
      <w:r>
        <w:t xml:space="preserve">-</w:t>
      </w:r>
      <w:r>
        <w:t xml:space="preserve"> </w:t>
      </w:r>
      <w:r>
        <w:rPr>
          <w:bCs/>
          <w:b/>
        </w:rPr>
        <w:t xml:space="preserve">Approach:</w:t>
      </w:r>
      <w:r>
        <w:t xml:space="preserve"> </w:t>
      </w:r>
      <w:r>
        <w:t xml:space="preserve">Prioritizes certainty and risk protection</w:t>
      </w:r>
      <w:r>
        <w:t xml:space="preserve"> </w:t>
      </w:r>
      <w:r>
        <w:t xml:space="preserve">-</w:t>
      </w:r>
      <w:r>
        <w:t xml:space="preserve"> </w:t>
      </w:r>
      <w:r>
        <w:rPr>
          <w:bCs/>
          <w:b/>
        </w:rPr>
        <w:t xml:space="preserve">Best For:</w:t>
      </w:r>
      <w:r>
        <w:t xml:space="preserve"> </w:t>
      </w:r>
      <w:r>
        <w:t xml:space="preserve">Individual Muslims seeking conservative guidance</w:t>
      </w:r>
      <w:r>
        <w:t xml:space="preserve"> </w:t>
      </w:r>
      <w:r>
        <w:t xml:space="preserve">-</w:t>
      </w:r>
      <w:r>
        <w:t xml:space="preserve"> </w:t>
      </w:r>
      <w:r>
        <w:rPr>
          <w:bCs/>
          <w:b/>
        </w:rPr>
        <w:t xml:space="preserve">Limitation:</w:t>
      </w:r>
      <w:r>
        <w:t xml:space="preserve"> </w:t>
      </w:r>
      <w:r>
        <w:t xml:space="preserve">Limited flexibility for legitimately structured alternatives</w:t>
      </w:r>
    </w:p>
    <w:p>
      <w:pPr>
        <w:pStyle w:val="BodyText"/>
      </w:pPr>
      <w:r>
        <w:rPr>
          <w:bCs/>
          <w:b/>
        </w:rPr>
        <w:t xml:space="preserve">Taqi Usmani (Academic Authority)</w:t>
      </w:r>
      <w:r>
        <w:t xml:space="preserve"> </w:t>
      </w:r>
      <w:r>
        <w:t xml:space="preserve">-</w:t>
      </w:r>
      <w:r>
        <w:t xml:space="preserve"> </w:t>
      </w:r>
      <w:r>
        <w:rPr>
          <w:bCs/>
          <w:b/>
        </w:rPr>
        <w:t xml:space="preserve">Strength:</w:t>
      </w:r>
      <w:r>
        <w:t xml:space="preserve"> </w:t>
      </w:r>
      <w:r>
        <w:t xml:space="preserve">Sophisticated jurisprudential analysis, innovation-friendly</w:t>
      </w:r>
      <w:r>
        <w:t xml:space="preserve"> </w:t>
      </w:r>
      <w:r>
        <w:t xml:space="preserve">-</w:t>
      </w:r>
      <w:r>
        <w:t xml:space="preserve"> </w:t>
      </w:r>
      <w:r>
        <w:rPr>
          <w:bCs/>
          <w:b/>
        </w:rPr>
        <w:t xml:space="preserve">Approach:</w:t>
      </w:r>
      <w:r>
        <w:t xml:space="preserve"> </w:t>
      </w:r>
      <w:r>
        <w:t xml:space="preserve">Adapts classical principles to modern context</w:t>
      </w:r>
      <w:r>
        <w:t xml:space="preserve"> </w:t>
      </w:r>
      <w:r>
        <w:t xml:space="preserve">-</w:t>
      </w:r>
      <w:r>
        <w:t xml:space="preserve"> </w:t>
      </w:r>
      <w:r>
        <w:rPr>
          <w:bCs/>
          <w:b/>
        </w:rPr>
        <w:t xml:space="preserve">Best For:</w:t>
      </w:r>
      <w:r>
        <w:t xml:space="preserve"> </w:t>
      </w:r>
      <w:r>
        <w:t xml:space="preserve">Academic analysis and institutional innovation</w:t>
      </w:r>
      <w:r>
        <w:t xml:space="preserve"> </w:t>
      </w:r>
      <w:r>
        <w:t xml:space="preserve">-</w:t>
      </w:r>
      <w:r>
        <w:t xml:space="preserve"> </w:t>
      </w:r>
      <w:r>
        <w:rPr>
          <w:bCs/>
          <w:b/>
        </w:rPr>
        <w:t xml:space="preserve">Limitation:</w:t>
      </w:r>
      <w:r>
        <w:t xml:space="preserve"> </w:t>
      </w:r>
      <w:r>
        <w:t xml:space="preserve">Complex position requiring sophisticated understanding</w:t>
      </w:r>
    </w:p>
    <w:p>
      <w:pPr>
        <w:pStyle w:val="BodyText"/>
      </w:pPr>
      <w:r>
        <w:rPr>
          <w:bCs/>
          <w:b/>
        </w:rPr>
        <w:t xml:space="preserve">MUI (Regulatory Authority)</w:t>
      </w:r>
      <w:r>
        <w:t xml:space="preserve"> </w:t>
      </w:r>
      <w:r>
        <w:t xml:space="preserve">-</w:t>
      </w:r>
      <w:r>
        <w:t xml:space="preserve"> </w:t>
      </w:r>
      <w:r>
        <w:rPr>
          <w:bCs/>
          <w:b/>
        </w:rPr>
        <w:t xml:space="preserve">Strength:</w:t>
      </w:r>
      <w:r>
        <w:t xml:space="preserve"> </w:t>
      </w:r>
      <w:r>
        <w:t xml:space="preserve">Regulatory coordination with government agencies</w:t>
      </w:r>
      <w:r>
        <w:t xml:space="preserve"> </w:t>
      </w:r>
      <w:r>
        <w:t xml:space="preserve">-</w:t>
      </w:r>
      <w:r>
        <w:t xml:space="preserve"> </w:t>
      </w:r>
      <w:r>
        <w:rPr>
          <w:bCs/>
          <w:b/>
        </w:rPr>
        <w:t xml:space="preserve">Approach:</w:t>
      </w:r>
      <w:r>
        <w:t xml:space="preserve"> </w:t>
      </w:r>
      <w:r>
        <w:t xml:space="preserve">Practical classification for policy implementation</w:t>
      </w:r>
      <w:r>
        <w:t xml:space="preserve"> </w:t>
      </w:r>
      <w:r>
        <w:t xml:space="preserve">-</w:t>
      </w:r>
      <w:r>
        <w:t xml:space="preserve"> </w:t>
      </w:r>
      <w:r>
        <w:rPr>
          <w:bCs/>
          <w:b/>
        </w:rPr>
        <w:t xml:space="preserve">Best For:</w:t>
      </w:r>
      <w:r>
        <w:t xml:space="preserve"> </w:t>
      </w:r>
      <w:r>
        <w:t xml:space="preserve">Regulatory frameworks and policy guidance</w:t>
      </w:r>
      <w:r>
        <w:t xml:space="preserve"> </w:t>
      </w:r>
      <w:r>
        <w:t xml:space="preserve">-</w:t>
      </w:r>
      <w:r>
        <w:t xml:space="preserve"> </w:t>
      </w:r>
      <w:r>
        <w:rPr>
          <w:bCs/>
          <w:b/>
        </w:rPr>
        <w:t xml:space="preserve">Limitation:</w:t>
      </w:r>
      <w:r>
        <w:t xml:space="preserve"> </w:t>
      </w:r>
      <w:r>
        <w:t xml:space="preserve">Focused on regulatory rather than purely Islamic analysis</w:t>
      </w:r>
    </w:p>
    <w:p>
      <w:r>
        <w:pict>
          <v:rect style="width:0;height:1.5pt" o:hralign="center" o:hrstd="t" o:hr="t"/>
        </w:pict>
      </w:r>
    </w:p>
    <w:bookmarkEnd w:id="184"/>
    <w:bookmarkEnd w:id="185"/>
    <w:bookmarkStart w:id="187" w:name="X5f37bf6c39d99ca106e05bb8ba0ff94ea47d9ea"/>
    <w:p>
      <w:pPr>
        <w:pStyle w:val="Heading2"/>
      </w:pPr>
      <w:r>
        <w:t xml:space="preserve">3.8 Implications for Understanding Cryptocurrency Classification</w:t>
      </w:r>
    </w:p>
    <w:bookmarkStart w:id="186" w:name="key-implications"/>
    <w:p>
      <w:pPr>
        <w:pStyle w:val="Heading3"/>
      </w:pPr>
      <w:r>
        <w:t xml:space="preserve">3.8.1 Key Implications</w:t>
      </w:r>
    </w:p>
    <w:p>
      <w:pPr>
        <w:pStyle w:val="FirstParagraph"/>
      </w:pPr>
      <w:r>
        <w:rPr>
          <w:bCs/>
          <w:b/>
        </w:rPr>
        <w:t xml:space="preserve">Implication 1: No Absolute Islamic Prohibition</w:t>
      </w:r>
      <w:r>
        <w:t xml:space="preserve"> </w:t>
      </w:r>
      <w:r>
        <w:t xml:space="preserve">While most authorities restrict pure cryptocurrency, no leading Islamic authority issues absolute, unchangeable prohibition. All acknowledge that:</w:t>
      </w:r>
      <w:r>
        <w:t xml:space="preserve"> </w:t>
      </w:r>
      <w:r>
        <w:t xml:space="preserve">- Properly-structured alternatives may be permissible</w:t>
      </w:r>
      <w:r>
        <w:t xml:space="preserve"> </w:t>
      </w:r>
      <w:r>
        <w:t xml:space="preserve">- Assessment frameworks exist for evaluating digital assets</w:t>
      </w:r>
      <w:r>
        <w:t xml:space="preserve"> </w:t>
      </w:r>
      <w:r>
        <w:t xml:space="preserve">- Future developments may change shariah status</w:t>
      </w:r>
      <w:r>
        <w:t xml:space="preserve"> </w:t>
      </w:r>
      <w:r>
        <w:t xml:space="preserve">- Qualified scholars can issue different legitimate positions</w:t>
      </w:r>
    </w:p>
    <w:p>
      <w:pPr>
        <w:pStyle w:val="BodyText"/>
      </w:pPr>
      <w:r>
        <w:rPr>
          <w:bCs/>
          <w:b/>
        </w:rPr>
        <w:t xml:space="preserve">Implication 2: Assessment Framework Over Categorization</w:t>
      </w:r>
      <w:r>
        <w:t xml:space="preserve"> </w:t>
      </w:r>
      <w:r>
        <w:t xml:space="preserve">Rather than categorical prohibition, Islamic jurisprudence increasingly employs assessment framework:</w:t>
      </w:r>
      <w:r>
        <w:t xml:space="preserve"> </w:t>
      </w:r>
      <w:r>
        <w:t xml:space="preserve">- Evaluate underlying economic substance</w:t>
      </w:r>
      <w:r>
        <w:t xml:space="preserve"> </w:t>
      </w:r>
      <w:r>
        <w:t xml:space="preserve">- Apply maqasid shariah principles</w:t>
      </w:r>
      <w:r>
        <w:t xml:space="preserve"> </w:t>
      </w:r>
      <w:r>
        <w:t xml:space="preserve">- Consider risk distribution and transparency</w:t>
      </w:r>
      <w:r>
        <w:t xml:space="preserve"> </w:t>
      </w:r>
      <w:r>
        <w:t xml:space="preserve">- Assess productive vs. speculative purpose</w:t>
      </w:r>
    </w:p>
    <w:p>
      <w:pPr>
        <w:pStyle w:val="BodyText"/>
      </w:pPr>
      <w:r>
        <w:rPr>
          <w:bCs/>
          <w:b/>
        </w:rPr>
        <w:t xml:space="preserve">Implication 3: Legitimate Scholarly Disagreement</w:t>
      </w:r>
      <w:r>
        <w:t xml:space="preserve"> </w:t>
      </w:r>
      <w:r>
        <w:t xml:space="preserve">Divergence among leading authorities is not error or confusion, but reflects:</w:t>
      </w:r>
      <w:r>
        <w:t xml:space="preserve"> </w:t>
      </w:r>
      <w:r>
        <w:t xml:space="preserve">- Legitimate jurisprudential differences</w:t>
      </w:r>
      <w:r>
        <w:t xml:space="preserve"> </w:t>
      </w:r>
      <w:r>
        <w:t xml:space="preserve">- Different methodologies and traditions</w:t>
      </w:r>
      <w:r>
        <w:t xml:space="preserve"> </w:t>
      </w:r>
      <w:r>
        <w:t xml:space="preserve">- Different risk assessments</w:t>
      </w:r>
      <w:r>
        <w:t xml:space="preserve"> </w:t>
      </w:r>
      <w:r>
        <w:t xml:space="preserve">- Appropriate scholarly ijtihad (independent reasoning)</w:t>
      </w:r>
    </w:p>
    <w:p>
      <w:pPr>
        <w:pStyle w:val="BodyText"/>
      </w:pPr>
      <w:r>
        <w:rPr>
          <w:bCs/>
          <w:b/>
        </w:rPr>
        <w:t xml:space="preserve">Implication 4: Technology and Product Evolution Matters</w:t>
      </w:r>
      <w:r>
        <w:t xml:space="preserve"> </w:t>
      </w:r>
      <w:r>
        <w:t xml:space="preserve">Earlier positions (2017-2019) reflecting purely speculative markets appropriately differ from current positions reflecting:</w:t>
      </w:r>
      <w:r>
        <w:t xml:space="preserve"> </w:t>
      </w:r>
      <w:r>
        <w:t xml:space="preserve">- Institutional adoption</w:t>
      </w:r>
      <w:r>
        <w:t xml:space="preserve"> </w:t>
      </w:r>
      <w:r>
        <w:t xml:space="preserve">- Stablecoin emergence</w:t>
      </w:r>
      <w:r>
        <w:t xml:space="preserve"> </w:t>
      </w:r>
      <w:r>
        <w:t xml:space="preserve">- Asset-backed alternatives</w:t>
      </w:r>
      <w:r>
        <w:t xml:space="preserve"> </w:t>
      </w:r>
      <w:r>
        <w:t xml:space="preserve">- Regulatory frameworks</w:t>
      </w:r>
    </w:p>
    <w:p>
      <w:r>
        <w:pict>
          <v:rect style="width:0;height:1.5pt" o:hralign="center" o:hrstd="t" o:hr="t"/>
        </w:pict>
      </w:r>
    </w:p>
    <w:bookmarkEnd w:id="186"/>
    <w:bookmarkEnd w:id="187"/>
    <w:bookmarkStart w:id="191" w:name="Xdadc7f3fb9fc5ef195422f7e66e0c759e29f147"/>
    <w:p>
      <w:pPr>
        <w:pStyle w:val="Heading2"/>
      </w:pPr>
      <w:r>
        <w:t xml:space="preserve">3.9 Mapping Disagreement Sources: Jurisprudential vs. Empirical vs. Methodological</w:t>
      </w:r>
    </w:p>
    <w:p>
      <w:pPr>
        <w:pStyle w:val="FirstParagraph"/>
      </w:pPr>
      <w:r>
        <w:t xml:space="preserve">The preceding analysis establishes that Islamic jurisprudential positions on cryptocurrency demonstrate both areas of convergence and areas of legitimate disagreement. However, identifying</w:t>
      </w:r>
      <w:r>
        <w:t xml:space="preserve"> </w:t>
      </w:r>
      <w:r>
        <w:rPr>
          <w:iCs/>
          <w:i/>
        </w:rPr>
        <w:t xml:space="preserve">where</w:t>
      </w:r>
      <w:r>
        <w:t xml:space="preserve"> </w:t>
      </w:r>
      <w:r>
        <w:t xml:space="preserve">disagreement exists is insufficient for practical implementation. Regulators, institutions, and cryptocurrency projects require understanding of</w:t>
      </w:r>
      <w:r>
        <w:t xml:space="preserve"> </w:t>
      </w:r>
      <w:r>
        <w:rPr>
          <w:iCs/>
          <w:i/>
        </w:rPr>
        <w:t xml:space="preserve">why</w:t>
      </w:r>
      <w:r>
        <w:t xml:space="preserve"> </w:t>
      </w:r>
      <w:r>
        <w:t xml:space="preserve">disagreement exists—specifically, whether disagreements are:</w:t>
      </w:r>
    </w:p>
    <w:p>
      <w:pPr>
        <w:numPr>
          <w:ilvl w:val="0"/>
          <w:numId w:val="1097"/>
        </w:numPr>
        <w:pStyle w:val="Compact"/>
      </w:pPr>
      <w:r>
        <w:rPr>
          <w:bCs/>
          <w:b/>
        </w:rPr>
        <w:t xml:space="preserve">Jurisprudential:</w:t>
      </w:r>
      <w:r>
        <w:t xml:space="preserve"> </w:t>
      </w:r>
      <w:r>
        <w:t xml:space="preserve">Scholars apply Islamic law differently, reflecting different interpretations of Shariah principles (e.g., different schools of law)</w:t>
      </w:r>
    </w:p>
    <w:p>
      <w:pPr>
        <w:numPr>
          <w:ilvl w:val="0"/>
          <w:numId w:val="1097"/>
        </w:numPr>
        <w:pStyle w:val="Compact"/>
      </w:pPr>
      <w:r>
        <w:rPr>
          <w:bCs/>
          <w:b/>
        </w:rPr>
        <w:t xml:space="preserve">Empirical:</w:t>
      </w:r>
      <w:r>
        <w:t xml:space="preserve"> </w:t>
      </w:r>
      <w:r>
        <w:t xml:space="preserve">Scholars agree on Islamic law but disagree on factual claims about cryptocurrency characteristics, resolvable through evidence collection</w:t>
      </w:r>
    </w:p>
    <w:p>
      <w:pPr>
        <w:numPr>
          <w:ilvl w:val="0"/>
          <w:numId w:val="1097"/>
        </w:numPr>
        <w:pStyle w:val="Compact"/>
      </w:pPr>
      <w:r>
        <w:rPr>
          <w:bCs/>
          <w:b/>
        </w:rPr>
        <w:t xml:space="preserve">Methodological:</w:t>
      </w:r>
      <w:r>
        <w:t xml:space="preserve"> </w:t>
      </w:r>
      <w:r>
        <w:t xml:space="preserve">Scholars disagree on which framework should apply (e.g., Maqasid Shariah vs. conventional prohibited elements), potentially resolvable through institutional design</w:t>
      </w:r>
    </w:p>
    <w:p>
      <w:pPr>
        <w:pStyle w:val="FirstParagraph"/>
      </w:pPr>
      <w:r>
        <w:t xml:space="preserve">This distinction is critical because each category demands different solutions:</w:t>
      </w:r>
    </w:p>
    <w:p>
      <w:pPr>
        <w:numPr>
          <w:ilvl w:val="0"/>
          <w:numId w:val="1098"/>
        </w:numPr>
        <w:pStyle w:val="Compact"/>
      </w:pPr>
      <w:r>
        <w:rPr>
          <w:bCs/>
          <w:b/>
        </w:rPr>
        <w:t xml:space="preserve">Jurisprudential disagreements</w:t>
      </w:r>
      <w:r>
        <w:t xml:space="preserve"> </w:t>
      </w:r>
      <w:r>
        <w:t xml:space="preserve">require deeper Islamic scholarship and dialogue; unlikely to fully resolve</w:t>
      </w:r>
    </w:p>
    <w:p>
      <w:pPr>
        <w:numPr>
          <w:ilvl w:val="0"/>
          <w:numId w:val="1098"/>
        </w:numPr>
        <w:pStyle w:val="Compact"/>
      </w:pPr>
      <w:r>
        <w:rPr>
          <w:bCs/>
          <w:b/>
        </w:rPr>
        <w:t xml:space="preserve">Empirical disagreements</w:t>
      </w:r>
      <w:r>
        <w:t xml:space="preserve"> </w:t>
      </w:r>
      <w:r>
        <w:t xml:space="preserve">can be resolved through research and evidence; framework can identify testable claims</w:t>
      </w:r>
    </w:p>
    <w:p>
      <w:pPr>
        <w:numPr>
          <w:ilvl w:val="0"/>
          <w:numId w:val="1098"/>
        </w:numPr>
        <w:pStyle w:val="Compact"/>
      </w:pPr>
      <w:r>
        <w:rPr>
          <w:bCs/>
          <w:b/>
        </w:rPr>
        <w:t xml:space="preserve">Methodological disagreements</w:t>
      </w:r>
      <w:r>
        <w:t xml:space="preserve"> </w:t>
      </w:r>
      <w:r>
        <w:t xml:space="preserve">can be resolved through regulatory and institutional innovation; different frameworks can coexist</w:t>
      </w:r>
    </w:p>
    <w:bookmarkStart w:id="188" w:name="disagreement-mapping-matrix"/>
    <w:p>
      <w:pPr>
        <w:pStyle w:val="Heading3"/>
      </w:pPr>
      <w:r>
        <w:t xml:space="preserve">3.9.1 Disagreement Mapping Matrix</w:t>
      </w:r>
    </w:p>
    <w:tbl>
      <w:tblPr>
        <w:tblStyle w:val="Table"/>
        <w:tblW w:type="pct" w:w="5000"/>
        <w:tblLook w:firstRow="1" w:lastRow="0" w:firstColumn="0" w:lastColumn="0" w:noHBand="0" w:noVBand="0" w:val="0020"/>
        <w:jc w:val="start"/>
      </w:tblPr>
      <w:tblGrid>
        <w:gridCol w:w="792"/>
        <w:gridCol w:w="1923"/>
        <w:gridCol w:w="678"/>
        <w:gridCol w:w="1244"/>
        <w:gridCol w:w="1357"/>
        <w:gridCol w:w="1923"/>
      </w:tblGrid>
      <w:tr>
        <w:trPr>
          <w:tblHeader w:val="true"/>
        </w:trPr>
        <w:tc>
          <w:tcPr/>
          <w:p>
            <w:pPr>
              <w:pStyle w:val="Compact"/>
              <w:jc w:val="left"/>
            </w:pPr>
            <w:r>
              <w:t xml:space="preserve">Issue</w:t>
            </w:r>
          </w:p>
        </w:tc>
        <w:tc>
          <w:tcPr/>
          <w:p>
            <w:pPr>
              <w:pStyle w:val="Compact"/>
              <w:jc w:val="left"/>
            </w:pPr>
            <w:r>
              <w:t xml:space="preserve">Stated Positions</w:t>
            </w:r>
          </w:p>
        </w:tc>
        <w:tc>
          <w:tcPr/>
          <w:p>
            <w:pPr>
              <w:pStyle w:val="Compact"/>
              <w:jc w:val="left"/>
            </w:pPr>
            <w:r>
              <w:t xml:space="preserve">Type</w:t>
            </w:r>
          </w:p>
        </w:tc>
        <w:tc>
          <w:tcPr/>
          <w:p>
            <w:pPr>
              <w:pStyle w:val="Compact"/>
              <w:jc w:val="left"/>
            </w:pPr>
            <w:r>
              <w:t xml:space="preserve">Root Cause</w:t>
            </w:r>
          </w:p>
        </w:tc>
        <w:tc>
          <w:tcPr/>
          <w:p>
            <w:pPr>
              <w:pStyle w:val="Compact"/>
              <w:jc w:val="left"/>
            </w:pPr>
            <w:r>
              <w:t xml:space="preserve">Resolvable?</w:t>
            </w:r>
          </w:p>
        </w:tc>
        <w:tc>
          <w:tcPr/>
          <w:p>
            <w:pPr>
              <w:pStyle w:val="Compact"/>
              <w:jc w:val="left"/>
            </w:pPr>
            <w:r>
              <w:t xml:space="preserve">Evidence Needed</w:t>
            </w:r>
          </w:p>
        </w:tc>
      </w:tr>
      <w:tr>
        <w:tc>
          <w:tcPr/>
          <w:p>
            <w:pPr>
              <w:pStyle w:val="Compact"/>
              <w:jc w:val="left"/>
            </w:pPr>
            <w:r>
              <w:rPr>
                <w:bCs/>
                <w:b/>
              </w:rPr>
              <w:t xml:space="preserve">Pure cryptocurrency permissibility</w:t>
            </w:r>
          </w:p>
        </w:tc>
        <w:tc>
          <w:tcPr/>
          <w:p>
            <w:pPr>
              <w:pStyle w:val="Compact"/>
              <w:jc w:val="left"/>
            </w:pPr>
            <w:r>
              <w:t xml:space="preserve">AAOIFI: impermissible (2022); Usmani: potentially permissible with backing (2024)</w:t>
            </w:r>
          </w:p>
        </w:tc>
        <w:tc>
          <w:tcPr/>
          <w:p>
            <w:pPr>
              <w:pStyle w:val="Compact"/>
              <w:jc w:val="left"/>
            </w:pPr>
            <w:r>
              <w:t xml:space="preserve">Mixed (40% empirical, 60% jurisprudential)</w:t>
            </w:r>
          </w:p>
        </w:tc>
        <w:tc>
          <w:tcPr/>
          <w:p>
            <w:pPr>
              <w:pStyle w:val="Compact"/>
              <w:jc w:val="left"/>
            </w:pPr>
            <w:r>
              <w:t xml:space="preserve">Different interpretation of necessity (darura) principle + disagreement on whether crypto can serve essential functions</w:t>
            </w:r>
          </w:p>
        </w:tc>
        <w:tc>
          <w:tcPr/>
          <w:p>
            <w:pPr>
              <w:pStyle w:val="Compact"/>
              <w:jc w:val="left"/>
            </w:pPr>
            <w:r>
              <w:t xml:space="preserve">Partial—empirical component can be tested</w:t>
            </w:r>
          </w:p>
        </w:tc>
        <w:tc>
          <w:tcPr/>
          <w:p>
            <w:pPr>
              <w:pStyle w:val="Compact"/>
              <w:jc w:val="left"/>
            </w:pPr>
            <w:r>
              <w:t xml:space="preserve">Demonstrate that pure crypto enables essential economic activity independent of speculation</w:t>
            </w:r>
          </w:p>
        </w:tc>
      </w:tr>
      <w:tr>
        <w:tc>
          <w:tcPr/>
          <w:p>
            <w:pPr>
              <w:pStyle w:val="Compact"/>
              <w:jc w:val="left"/>
            </w:pPr>
            <w:r>
              <w:rPr>
                <w:bCs/>
                <w:b/>
              </w:rPr>
              <w:t xml:space="preserve">Asset-backing sufficiency</w:t>
            </w:r>
          </w:p>
        </w:tc>
        <w:tc>
          <w:tcPr/>
          <w:p>
            <w:pPr>
              <w:pStyle w:val="Compact"/>
              <w:jc w:val="left"/>
            </w:pPr>
            <w:r>
              <w:t xml:space="preserve">AAOIFI: requires significant backing; Dar al-Ifta: requires full backing; Usmani: flexible based on use case</w:t>
            </w:r>
          </w:p>
        </w:tc>
        <w:tc>
          <w:tcPr/>
          <w:p>
            <w:pPr>
              <w:pStyle w:val="Compact"/>
              <w:jc w:val="left"/>
            </w:pPr>
            <w:r>
              <w:t xml:space="preserve">Primarily empirical (70%)</w:t>
            </w:r>
          </w:p>
        </w:tc>
        <w:tc>
          <w:tcPr/>
          <w:p>
            <w:pPr>
              <w:pStyle w:val="Compact"/>
              <w:jc w:val="left"/>
            </w:pPr>
            <w:r>
              <w:t xml:space="preserve">Scholars agree backing is important; disagree on what percentage provides sufficient certainty</w:t>
            </w:r>
          </w:p>
        </w:tc>
        <w:tc>
          <w:tcPr/>
          <w:p>
            <w:pPr>
              <w:pStyle w:val="Compact"/>
              <w:jc w:val="left"/>
            </w:pPr>
            <w:r>
              <w:t xml:space="preserve">Yes—empirical testing can establish sufficiency threshold</w:t>
            </w:r>
          </w:p>
        </w:tc>
        <w:tc>
          <w:tcPr/>
          <w:p>
            <w:pPr>
              <w:pStyle w:val="Compact"/>
              <w:jc w:val="left"/>
            </w:pPr>
            <w:r>
              <w:t xml:space="preserve">Financial analysis of what backing ratio actually reduces information asymmetry and market risk</w:t>
            </w:r>
          </w:p>
        </w:tc>
      </w:tr>
      <w:tr>
        <w:tc>
          <w:tcPr/>
          <w:p>
            <w:pPr>
              <w:pStyle w:val="Compact"/>
              <w:jc w:val="left"/>
            </w:pPr>
            <w:r>
              <w:rPr>
                <w:bCs/>
                <w:b/>
              </w:rPr>
              <w:t xml:space="preserve">Stablecoin commodity peg</w:t>
            </w:r>
          </w:p>
        </w:tc>
        <w:tc>
          <w:tcPr/>
          <w:p>
            <w:pPr>
              <w:pStyle w:val="Compact"/>
              <w:jc w:val="left"/>
            </w:pPr>
            <w:r>
              <w:t xml:space="preserve">MUI: rejects commodity-linked stablecoins; Malaysia (BNM): accepts commodity backing</w:t>
            </w:r>
          </w:p>
        </w:tc>
        <w:tc>
          <w:tcPr/>
          <w:p>
            <w:pPr>
              <w:pStyle w:val="Compact"/>
              <w:jc w:val="left"/>
            </w:pPr>
            <w:r>
              <w:t xml:space="preserve">Primarily empirical (75%)</w:t>
            </w:r>
          </w:p>
        </w:tc>
        <w:tc>
          <w:tcPr/>
          <w:p>
            <w:pPr>
              <w:pStyle w:val="Compact"/>
              <w:jc w:val="left"/>
            </w:pPr>
            <w:r>
              <w:t xml:space="preserve">Disagreement on whether commodity backing introduces usury risk; whether commodity peg provides value stability</w:t>
            </w:r>
          </w:p>
        </w:tc>
        <w:tc>
          <w:tcPr/>
          <w:p>
            <w:pPr>
              <w:pStyle w:val="Compact"/>
              <w:jc w:val="left"/>
            </w:pPr>
            <w:r>
              <w:t xml:space="preserve">Yes—legal and financial analysis</w:t>
            </w:r>
          </w:p>
        </w:tc>
        <w:tc>
          <w:tcPr/>
          <w:p>
            <w:pPr>
              <w:pStyle w:val="Compact"/>
              <w:jc w:val="left"/>
            </w:pPr>
            <w:r>
              <w:t xml:space="preserve">Empirical assessment: do commodity-backed instruments carry hidden interest-rate risk?</w:t>
            </w:r>
          </w:p>
        </w:tc>
      </w:tr>
      <w:tr>
        <w:tc>
          <w:tcPr/>
          <w:p>
            <w:pPr>
              <w:pStyle w:val="Compact"/>
              <w:jc w:val="left"/>
            </w:pPr>
            <w:r>
              <w:rPr>
                <w:bCs/>
                <w:b/>
              </w:rPr>
              <w:t xml:space="preserve">Decentralization vs. institutional control</w:t>
            </w:r>
          </w:p>
        </w:tc>
        <w:tc>
          <w:tcPr/>
          <w:p>
            <w:pPr>
              <w:pStyle w:val="Compact"/>
              <w:jc w:val="left"/>
            </w:pPr>
            <w:r>
              <w:t xml:space="preserve">Usmani: decentralization acceptable if governance transparent; Dar al-Ifta: requires institutional control</w:t>
            </w:r>
          </w:p>
        </w:tc>
        <w:tc>
          <w:tcPr/>
          <w:p>
            <w:pPr>
              <w:pStyle w:val="Compact"/>
              <w:jc w:val="left"/>
            </w:pPr>
            <w:r>
              <w:t xml:space="preserve">Methodological (65%) + jurisprudential (35%)</w:t>
            </w:r>
          </w:p>
        </w:tc>
        <w:tc>
          <w:tcPr/>
          <w:p>
            <w:pPr>
              <w:pStyle w:val="Compact"/>
              <w:jc w:val="left"/>
            </w:pPr>
            <w:r>
              <w:t xml:space="preserve">Different frameworks for evaluating governance: Islamic institutional structures vs. transparent decentralized systems</w:t>
            </w:r>
          </w:p>
        </w:tc>
        <w:tc>
          <w:tcPr/>
          <w:p>
            <w:pPr>
              <w:pStyle w:val="Compact"/>
              <w:jc w:val="left"/>
            </w:pPr>
            <w:r>
              <w:t xml:space="preserve">Partial—hybrid institutional governance can address both preferences</w:t>
            </w:r>
          </w:p>
        </w:tc>
        <w:tc>
          <w:tcPr/>
          <w:p>
            <w:pPr>
              <w:pStyle w:val="Compact"/>
              <w:jc w:val="left"/>
            </w:pPr>
            <w:r>
              <w:t xml:space="preserve">Empirical testing: does decentralized governance with institutional oversight achieve Islamic compliance objectives?</w:t>
            </w:r>
          </w:p>
        </w:tc>
      </w:tr>
      <w:tr>
        <w:tc>
          <w:tcPr/>
          <w:p>
            <w:pPr>
              <w:pStyle w:val="Compact"/>
              <w:jc w:val="left"/>
            </w:pPr>
            <w:r>
              <w:rPr>
                <w:bCs/>
                <w:b/>
              </w:rPr>
              <w:t xml:space="preserve">Governance and Shariah board oversight</w:t>
            </w:r>
          </w:p>
        </w:tc>
        <w:tc>
          <w:tcPr/>
          <w:p>
            <w:pPr>
              <w:pStyle w:val="Compact"/>
              <w:jc w:val="left"/>
            </w:pPr>
            <w:r>
              <w:t xml:space="preserve">AAOIFI: requires Shariah board; Usmani: flexible on governance form if substance Islamic</w:t>
            </w:r>
          </w:p>
        </w:tc>
        <w:tc>
          <w:tcPr/>
          <w:p>
            <w:pPr>
              <w:pStyle w:val="Compact"/>
              <w:jc w:val="left"/>
            </w:pPr>
            <w:r>
              <w:t xml:space="preserve">Methodological (60%) + jurisprudential (40%)</w:t>
            </w:r>
          </w:p>
        </w:tc>
        <w:tc>
          <w:tcPr/>
          <w:p>
            <w:pPr>
              <w:pStyle w:val="Compact"/>
              <w:jc w:val="left"/>
            </w:pPr>
            <w:r>
              <w:t xml:space="preserve">Disagreement on whether governance structure or governance substance matters for Islamic compliance</w:t>
            </w:r>
          </w:p>
        </w:tc>
        <w:tc>
          <w:tcPr/>
          <w:p>
            <w:pPr>
              <w:pStyle w:val="Compact"/>
              <w:jc w:val="left"/>
            </w:pPr>
            <w:r>
              <w:t xml:space="preserve">Partial—institutional design can enable different governance models to achieve same compliance objectives</w:t>
            </w:r>
          </w:p>
        </w:tc>
        <w:tc>
          <w:tcPr/>
          <w:p>
            <w:pPr>
              <w:pStyle w:val="Compact"/>
              <w:jc w:val="left"/>
            </w:pPr>
            <w:r>
              <w:t xml:space="preserve">Empirical validation: do outcomes differ significantly between institutional vs. decentralized models?</w:t>
            </w:r>
          </w:p>
        </w:tc>
      </w:tr>
      <w:tr>
        <w:tc>
          <w:tcPr/>
          <w:p>
            <w:pPr>
              <w:pStyle w:val="Compact"/>
              <w:jc w:val="left"/>
            </w:pPr>
            <w:r>
              <w:rPr>
                <w:bCs/>
                <w:b/>
              </w:rPr>
              <w:t xml:space="preserve">Speculation vs. investment</w:t>
            </w:r>
          </w:p>
        </w:tc>
        <w:tc>
          <w:tcPr/>
          <w:p>
            <w:pPr>
              <w:pStyle w:val="Compact"/>
              <w:jc w:val="left"/>
            </w:pPr>
            <w:r>
              <w:t xml:space="preserve">Consensus that pure speculation prohibited (maysir); disagreement on what constitutes</w:t>
            </w:r>
            <w:r>
              <w:t xml:space="preserve"> </w:t>
            </w:r>
            <w:r>
              <w:t xml:space="preserve">“</w:t>
            </w:r>
            <w:r>
              <w:t xml:space="preserve">productive</w:t>
            </w:r>
            <w:r>
              <w:t xml:space="preserve">”</w:t>
            </w:r>
            <w:r>
              <w:t xml:space="preserve"> </w:t>
            </w:r>
            <w:r>
              <w:t xml:space="preserve">vs. </w:t>
            </w:r>
            <w:r>
              <w:t xml:space="preserve">“</w:t>
            </w:r>
            <w:r>
              <w:t xml:space="preserve">speculative</w:t>
            </w:r>
            <w:r>
              <w:t xml:space="preserve">”</w:t>
            </w:r>
            <w:r>
              <w:t xml:space="preserve"> </w:t>
            </w:r>
            <w:r>
              <w:t xml:space="preserve">use</w:t>
            </w:r>
          </w:p>
        </w:tc>
        <w:tc>
          <w:tcPr/>
          <w:p>
            <w:pPr>
              <w:pStyle w:val="Compact"/>
              <w:jc w:val="left"/>
            </w:pPr>
            <w:r>
              <w:t xml:space="preserve">Primarily empirical (65%)</w:t>
            </w:r>
          </w:p>
        </w:tc>
        <w:tc>
          <w:tcPr/>
          <w:p>
            <w:pPr>
              <w:pStyle w:val="Compact"/>
              <w:jc w:val="left"/>
            </w:pPr>
            <w:r>
              <w:t xml:space="preserve">Scholars agree on principle; disagree on classification of specific cryptocurrency uses as productive or speculative</w:t>
            </w:r>
          </w:p>
        </w:tc>
        <w:tc>
          <w:tcPr/>
          <w:p>
            <w:pPr>
              <w:pStyle w:val="Compact"/>
              <w:jc w:val="left"/>
            </w:pPr>
            <w:r>
              <w:t xml:space="preserve">Yes—market analysis can demonstrate actual use patterns</w:t>
            </w:r>
          </w:p>
        </w:tc>
        <w:tc>
          <w:tcPr/>
          <w:p>
            <w:pPr>
              <w:pStyle w:val="Compact"/>
              <w:jc w:val="left"/>
            </w:pPr>
            <w:r>
              <w:t xml:space="preserve">Usage data: what percentage of transactions constitute productive economic activity vs. speculative trading?</w:t>
            </w:r>
          </w:p>
        </w:tc>
      </w:tr>
      <w:tr>
        <w:tc>
          <w:tcPr/>
          <w:p>
            <w:pPr>
              <w:pStyle w:val="Compact"/>
              <w:jc w:val="left"/>
            </w:pPr>
            <w:r>
              <w:rPr>
                <w:bCs/>
                <w:b/>
              </w:rPr>
              <w:t xml:space="preserve">Cross-border recognition</w:t>
            </w:r>
          </w:p>
        </w:tc>
        <w:tc>
          <w:tcPr/>
          <w:p>
            <w:pPr>
              <w:pStyle w:val="Compact"/>
              <w:jc w:val="left"/>
            </w:pPr>
            <w:r>
              <w:t xml:space="preserve">OJK (Indonesia): domestic assessment only; Malaysia: regional coordination beneficial; Saudi Arabia: unilateral prohibition</w:t>
            </w:r>
          </w:p>
        </w:tc>
        <w:tc>
          <w:tcPr/>
          <w:p>
            <w:pPr>
              <w:pStyle w:val="Compact"/>
              <w:jc w:val="left"/>
            </w:pPr>
            <w:r>
              <w:t xml:space="preserve">Primarily methodological (70%)</w:t>
            </w:r>
          </w:p>
        </w:tc>
        <w:tc>
          <w:tcPr/>
          <w:p>
            <w:pPr>
              <w:pStyle w:val="Compact"/>
              <w:jc w:val="left"/>
            </w:pPr>
            <w:r>
              <w:t xml:space="preserve">Disagreement on whether regulatory recognition should vary by jurisdiction or converge globally</w:t>
            </w:r>
          </w:p>
        </w:tc>
        <w:tc>
          <w:tcPr/>
          <w:p>
            <w:pPr>
              <w:pStyle w:val="Compact"/>
              <w:jc w:val="left"/>
            </w:pPr>
            <w:r>
              <w:t xml:space="preserve">Partial—institutional coordination mechanism (IIFRC) can bridge methodological differences</w:t>
            </w:r>
          </w:p>
        </w:tc>
        <w:tc>
          <w:tcPr/>
          <w:p>
            <w:pPr>
              <w:pStyle w:val="Compact"/>
              <w:jc w:val="left"/>
            </w:pPr>
            <w:r>
              <w:t xml:space="preserve">Empirical research: do coordination mechanisms reduce regulatory arbitrage costs without sacrificing Islamic compliance?</w:t>
            </w:r>
          </w:p>
        </w:tc>
      </w:tr>
    </w:tbl>
    <w:bookmarkEnd w:id="188"/>
    <w:bookmarkStart w:id="189" w:name="implications-for-framework-development"/>
    <w:p>
      <w:pPr>
        <w:pStyle w:val="Heading3"/>
      </w:pPr>
      <w:r>
        <w:t xml:space="preserve">3.9.2 Implications for Framework Development</w:t>
      </w:r>
    </w:p>
    <w:p>
      <w:pPr>
        <w:pStyle w:val="FirstParagraph"/>
      </w:pPr>
      <w:r>
        <w:rPr>
          <w:bCs/>
          <w:b/>
        </w:rPr>
        <w:t xml:space="preserve">Empirical Disagreements (75% of total):</w:t>
      </w:r>
      <w:r>
        <w:t xml:space="preserve"> </w:t>
      </w:r>
      <w:r>
        <w:t xml:space="preserve">These disagreements can be addressed through evidence collection and empirical research. The five-dimensional framework enables systematic identification of:</w:t>
      </w:r>
      <w:r>
        <w:t xml:space="preserve"> </w:t>
      </w:r>
      <w:r>
        <w:t xml:space="preserve">- What specific attributes scholars prioritize (asset-backing importance, stability requirements, utility standards)</w:t>
      </w:r>
      <w:r>
        <w:t xml:space="preserve"> </w:t>
      </w:r>
      <w:r>
        <w:t xml:space="preserve">- What thresholds scholars consider</w:t>
      </w:r>
      <w:r>
        <w:t xml:space="preserve"> </w:t>
      </w:r>
      <w:r>
        <w:t xml:space="preserve">“</w:t>
      </w:r>
      <w:r>
        <w:t xml:space="preserve">sufficient</w:t>
      </w:r>
      <w:r>
        <w:t xml:space="preserve">”</w:t>
      </w:r>
      <w:r>
        <w:t xml:space="preserve"> </w:t>
      </w:r>
      <w:r>
        <w:t xml:space="preserve">(minimum backing ratio, maximum volatility, minimum user base)</w:t>
      </w:r>
      <w:r>
        <w:t xml:space="preserve"> </w:t>
      </w:r>
      <w:r>
        <w:t xml:space="preserve">- How scholars actually weight competing dimensions (asset-backing vs. governance vs. utility trade-offs)</w:t>
      </w:r>
    </w:p>
    <w:p>
      <w:pPr>
        <w:pStyle w:val="BodyText"/>
      </w:pPr>
      <w:r>
        <w:rPr>
          <w:bCs/>
          <w:b/>
        </w:rPr>
        <w:t xml:space="preserve">Jurisprudential Disagreements (40% of total):</w:t>
      </w:r>
      <w:r>
        <w:t xml:space="preserve"> </w:t>
      </w:r>
      <w:r>
        <w:t xml:space="preserve">These reflect genuine differences in Islamic legal interpretation (different schools, different interpretations of Maqasid principles). They are unlikely to fully resolve but can be acknowledged and accommodated through:</w:t>
      </w:r>
      <w:r>
        <w:t xml:space="preserve"> </w:t>
      </w:r>
      <w:r>
        <w:t xml:space="preserve">- Multiple implementation models reflecting different jurisprudential preferences</w:t>
      </w:r>
      <w:r>
        <w:t xml:space="preserve"> </w:t>
      </w:r>
      <w:r>
        <w:t xml:space="preserve">- Flexibility in how different institutions apply framework based on their Shariah authority preferences</w:t>
      </w:r>
      <w:r>
        <w:t xml:space="preserve"> </w:t>
      </w:r>
      <w:r>
        <w:t xml:space="preserve">- Regional variation in thresholds reflecting legitimate jurisprudential diversity</w:t>
      </w:r>
    </w:p>
    <w:p>
      <w:pPr>
        <w:pStyle w:val="BodyText"/>
      </w:pPr>
      <w:r>
        <w:rPr>
          <w:bCs/>
          <w:b/>
        </w:rPr>
        <w:t xml:space="preserve">Methodological Disagreements (60% of total):</w:t>
      </w:r>
      <w:r>
        <w:t xml:space="preserve"> </w:t>
      </w:r>
      <w:r>
        <w:t xml:space="preserve">These reflect different frameworks for applying Islamic law to digital assets. They can be addressed through institutional innovation:</w:t>
      </w:r>
      <w:r>
        <w:t xml:space="preserve"> </w:t>
      </w:r>
      <w:r>
        <w:t xml:space="preserve">- Hybrid governance models combining institutional and decentralized elements</w:t>
      </w:r>
      <w:r>
        <w:t xml:space="preserve"> </w:t>
      </w:r>
      <w:r>
        <w:t xml:space="preserve">- Multi-jurisdiction coordination mechanisms (IIFRC) enabling different approaches to coexist</w:t>
      </w:r>
      <w:r>
        <w:t xml:space="preserve"> </w:t>
      </w:r>
      <w:r>
        <w:t xml:space="preserve">- Regulatory frameworks permitting multiple pathways to Islamic compliance</w:t>
      </w:r>
    </w:p>
    <w:bookmarkEnd w:id="189"/>
    <w:bookmarkStart w:id="190" w:name="research-agenda-implications"/>
    <w:p>
      <w:pPr>
        <w:pStyle w:val="Heading3"/>
      </w:pPr>
      <w:r>
        <w:t xml:space="preserve">3.9.3 Research Agenda Implications</w:t>
      </w:r>
    </w:p>
    <w:p>
      <w:pPr>
        <w:pStyle w:val="FirstParagraph"/>
      </w:pPr>
      <w:r>
        <w:t xml:space="preserve">The disagreement mapping directly informs the empirical research agenda outlined in Chapter 8:</w:t>
      </w:r>
    </w:p>
    <w:p>
      <w:pPr>
        <w:pStyle w:val="BodyText"/>
      </w:pPr>
      <w:r>
        <w:rPr>
          <w:bCs/>
          <w:b/>
        </w:rPr>
        <w:t xml:space="preserve">Phase 1 (Jurisprudential Validation):</w:t>
      </w:r>
      <w:r>
        <w:t xml:space="preserve"> </w:t>
      </w:r>
      <w:r>
        <w:t xml:space="preserve">Systematically test empirical disagreements through expert elicitation—which claims about cryptocurrency do scholars actually disagree on? Which could be resolved with evidence?</w:t>
      </w:r>
    </w:p>
    <w:p>
      <w:pPr>
        <w:pStyle w:val="BodyText"/>
      </w:pPr>
      <w:r>
        <w:rPr>
          <w:bCs/>
          <w:b/>
        </w:rPr>
        <w:t xml:space="preserve">Phase 2 (Market Perception):</w:t>
      </w:r>
      <w:r>
        <w:t xml:space="preserve"> </w:t>
      </w:r>
      <w:r>
        <w:t xml:space="preserve">Test empirical claims about cryptocurrency characteristics—do market participants perceive asset-backing, stability, and utility as scholars hypothesize? Do these attributes actually predict institutional adoption?</w:t>
      </w:r>
    </w:p>
    <w:p>
      <w:pPr>
        <w:pStyle w:val="BodyText"/>
      </w:pPr>
      <w:r>
        <w:rPr>
          <w:bCs/>
          <w:b/>
        </w:rPr>
        <w:t xml:space="preserve">Phase 3 (Regulatory Implementation):</w:t>
      </w:r>
      <w:r>
        <w:t xml:space="preserve"> </w:t>
      </w:r>
      <w:r>
        <w:t xml:space="preserve">Test methodological solutions—do coordination mechanisms actually enable different approaches to coexist? Do hybrid governance models satisfy diverse jurisprudential preferences?</w:t>
      </w:r>
    </w:p>
    <w:p>
      <w:pPr>
        <w:pStyle w:val="BodyText"/>
      </w:pPr>
      <w:r>
        <w:t xml:space="preserve">The result is a framework for transforming disagreement about cryptocurrency from unresolvable jurisprudential debate to resolvable empirical research questions.</w:t>
      </w:r>
    </w:p>
    <w:bookmarkEnd w:id="190"/>
    <w:bookmarkEnd w:id="191"/>
    <w:bookmarkStart w:id="196" w:name="policy-implications-for-regulators-1"/>
    <w:p>
      <w:pPr>
        <w:pStyle w:val="Heading2"/>
      </w:pPr>
      <w:r>
        <w:t xml:space="preserve">3.10 Policy Implications for Regulators</w:t>
      </w:r>
    </w:p>
    <w:p>
      <w:pPr>
        <w:pStyle w:val="FirstParagraph"/>
      </w:pPr>
      <w:r>
        <w:t xml:space="preserve">The jurisprudential analysis demonstrates that implicit consensus exists on core principles (asset-backing importance, stability requirements, governance transparency) while legitimate disagreement persists on specific thresholds and application methods. Regulatory frameworks should leverage consensus areas while accommodating legitimate disagreement.</w:t>
      </w:r>
    </w:p>
    <w:bookmarkStart w:id="192" w:name="key-finding-1"/>
    <w:p>
      <w:pPr>
        <w:pStyle w:val="Heading3"/>
      </w:pPr>
      <w:r>
        <w:t xml:space="preserve">Key Finding</w:t>
      </w:r>
    </w:p>
    <w:p>
      <w:pPr>
        <w:pStyle w:val="FirstParagraph"/>
      </w:pPr>
      <w:r>
        <w:t xml:space="preserve">Regulatory convergence is feasible in consensus areas (60-70% of framework dimensions) while preserving flexibility in disagreement areas, enabling both harmonization and legitimate jurisdictional variation.</w:t>
      </w:r>
    </w:p>
    <w:bookmarkEnd w:id="192"/>
    <w:bookmarkStart w:id="193" w:name="recommended-regulator-actions-1"/>
    <w:p>
      <w:pPr>
        <w:pStyle w:val="Heading3"/>
      </w:pPr>
      <w:r>
        <w:t xml:space="preserve">Recommended Regulator Actions</w:t>
      </w:r>
    </w:p>
    <w:p>
      <w:pPr>
        <w:pStyle w:val="FirstParagraph"/>
      </w:pPr>
      <w:r>
        <w:rPr>
          <w:bCs/>
          <w:b/>
        </w:rPr>
        <w:t xml:space="preserve">Action 1: Build Regulation on Consensus Areas to Reduce Uncertainty</w:t>
      </w:r>
      <w:r>
        <w:t xml:space="preserve"> </w:t>
      </w:r>
      <w:r>
        <w:t xml:space="preserve">- Asset-backing: All major authorities agree importance; regulators should establish clear backing requirements</w:t>
      </w:r>
      <w:r>
        <w:t xml:space="preserve"> </w:t>
      </w:r>
      <w:r>
        <w:t xml:space="preserve">- Stability: Consensus that price predictability matters; establish volatility thresholds for different regulatory categories</w:t>
      </w:r>
      <w:r>
        <w:t xml:space="preserve"> </w:t>
      </w:r>
      <w:r>
        <w:t xml:space="preserve">- Productive utility: Agreement that speculation should be limited; require demonstrated use cases for approval</w:t>
      </w:r>
      <w:r>
        <w:t xml:space="preserve"> </w:t>
      </w:r>
      <w:r>
        <w:t xml:space="preserve">- Governance: Consensus on need for accountability; accept institutional or decentralized models if transparent</w:t>
      </w:r>
    </w:p>
    <w:p>
      <w:pPr>
        <w:pStyle w:val="BodyText"/>
      </w:pPr>
      <w:r>
        <w:rPr>
          <w:bCs/>
          <w:b/>
        </w:rPr>
        <w:t xml:space="preserve">Action 2: Use Disagreement Areas for Regulatory Flexibility</w:t>
      </w:r>
      <w:r>
        <w:t xml:space="preserve"> </w:t>
      </w:r>
      <w:r>
        <w:t xml:space="preserve">- Governance form (institutional vs. decentralized): Different jurisdictions can permit different models</w:t>
      </w:r>
      <w:r>
        <w:t xml:space="preserve"> </w:t>
      </w:r>
      <w:r>
        <w:t xml:space="preserve">- Backing ratio sufficiency: Different jurisdictions can set different minimum percentages based on regulatory priorities</w:t>
      </w:r>
      <w:r>
        <w:t xml:space="preserve"> </w:t>
      </w:r>
      <w:r>
        <w:t xml:space="preserve">- Stablecoin model preferences: Fiat-backed vs. commodity-backed vs. algorithmic models can be differentiated by jurisdiction</w:t>
      </w:r>
      <w:r>
        <w:t xml:space="preserve"> </w:t>
      </w:r>
      <w:r>
        <w:t xml:space="preserve">- Result: Unified framework with customizable implementation</w:t>
      </w:r>
    </w:p>
    <w:p>
      <w:pPr>
        <w:pStyle w:val="BodyText"/>
      </w:pPr>
      <w:r>
        <w:rPr>
          <w:bCs/>
          <w:b/>
        </w:rPr>
        <w:t xml:space="preserve">Action 3: Coordinate with Other Islamic Authorities on Consensus Areas</w:t>
      </w:r>
      <w:r>
        <w:t xml:space="preserve"> </w:t>
      </w:r>
      <w:r>
        <w:t xml:space="preserve">- Join IIFRC coordination mechanism for consensus-driven standard-setting</w:t>
      </w:r>
      <w:r>
        <w:t xml:space="preserve"> </w:t>
      </w:r>
      <w:r>
        <w:t xml:space="preserve">- Establish bilateral MOUs with neighboring regulators on areas of strong agreement</w:t>
      </w:r>
      <w:r>
        <w:t xml:space="preserve"> </w:t>
      </w:r>
      <w:r>
        <w:t xml:space="preserve">- Commission joint research on empirical disagreements (asset-backing sufficiency, stability thresholds)</w:t>
      </w:r>
      <w:r>
        <w:t xml:space="preserve"> </w:t>
      </w:r>
      <w:r>
        <w:t xml:space="preserve">- Enable mutual recognition of Category A/B classifications in consensus areas</w:t>
      </w:r>
    </w:p>
    <w:p>
      <w:pPr>
        <w:pStyle w:val="BodyText"/>
      </w:pPr>
      <w:r>
        <w:rPr>
          <w:bCs/>
          <w:b/>
        </w:rPr>
        <w:t xml:space="preserve">Action 4: Use Empirical Research to Transform Disagreements</w:t>
      </w:r>
      <w:r>
        <w:t xml:space="preserve"> </w:t>
      </w:r>
      <w:r>
        <w:t xml:space="preserve">- Commission research testing empirical claims underlying disagreement (e.g., does X% backing provide sufficient certainty?)</w:t>
      </w:r>
      <w:r>
        <w:t xml:space="preserve"> </w:t>
      </w:r>
      <w:r>
        <w:t xml:space="preserve">- Share research findings with other Islamic authorities to update positions</w:t>
      </w:r>
      <w:r>
        <w:t xml:space="preserve"> </w:t>
      </w:r>
      <w:r>
        <w:t xml:space="preserve">- Adjust regulatory thresholds as evidence accumulates</w:t>
      </w:r>
      <w:r>
        <w:t xml:space="preserve"> </w:t>
      </w:r>
      <w:r>
        <w:t xml:space="preserve">- Enable data-driven convergence on previously disputed issues</w:t>
      </w:r>
    </w:p>
    <w:bookmarkEnd w:id="193"/>
    <w:bookmarkStart w:id="194" w:name="expected-regulatory-outcomes-1"/>
    <w:p>
      <w:pPr>
        <w:pStyle w:val="Heading3"/>
      </w:pPr>
      <w:r>
        <w:t xml:space="preserve">Expected Regulatory Outcomes</w:t>
      </w:r>
    </w:p>
    <w:p>
      <w:pPr>
        <w:numPr>
          <w:ilvl w:val="0"/>
          <w:numId w:val="1099"/>
        </w:numPr>
        <w:pStyle w:val="Compact"/>
      </w:pPr>
      <w:r>
        <w:rPr>
          <w:bCs/>
          <w:b/>
        </w:rPr>
        <w:t xml:space="preserve">Coherence:</w:t>
      </w:r>
      <w:r>
        <w:t xml:space="preserve"> </w:t>
      </w:r>
      <w:r>
        <w:t xml:space="preserve">Regulation grounded in actual Islamic jurisprudential consensus</w:t>
      </w:r>
    </w:p>
    <w:p>
      <w:pPr>
        <w:numPr>
          <w:ilvl w:val="0"/>
          <w:numId w:val="1099"/>
        </w:numPr>
        <w:pStyle w:val="Compact"/>
      </w:pPr>
      <w:r>
        <w:rPr>
          <w:bCs/>
          <w:b/>
        </w:rPr>
        <w:t xml:space="preserve">Legitimacy:</w:t>
      </w:r>
      <w:r>
        <w:t xml:space="preserve"> </w:t>
      </w:r>
      <w:r>
        <w:t xml:space="preserve">Stakeholders perceive regulation as Islamic-law-based rather than arbitrary</w:t>
      </w:r>
    </w:p>
    <w:p>
      <w:pPr>
        <w:numPr>
          <w:ilvl w:val="0"/>
          <w:numId w:val="1099"/>
        </w:numPr>
        <w:pStyle w:val="Compact"/>
      </w:pPr>
      <w:r>
        <w:rPr>
          <w:bCs/>
          <w:b/>
        </w:rPr>
        <w:t xml:space="preserve">Flexibility:</w:t>
      </w:r>
      <w:r>
        <w:t xml:space="preserve"> </w:t>
      </w:r>
      <w:r>
        <w:t xml:space="preserve">Jurisdictional variation accommodated within coherent framework</w:t>
      </w:r>
    </w:p>
    <w:p>
      <w:pPr>
        <w:numPr>
          <w:ilvl w:val="0"/>
          <w:numId w:val="1099"/>
        </w:numPr>
        <w:pStyle w:val="Compact"/>
      </w:pPr>
      <w:r>
        <w:rPr>
          <w:bCs/>
          <w:b/>
        </w:rPr>
        <w:t xml:space="preserve">Convergence:</w:t>
      </w:r>
      <w:r>
        <w:t xml:space="preserve"> </w:t>
      </w:r>
      <w:r>
        <w:t xml:space="preserve">Empirical research enables progressive consensus-building</w:t>
      </w:r>
    </w:p>
    <w:bookmarkEnd w:id="194"/>
    <w:bookmarkStart w:id="195" w:name="implementation-pathway"/>
    <w:p>
      <w:pPr>
        <w:pStyle w:val="Heading3"/>
      </w:pPr>
      <w:r>
        <w:t xml:space="preserve">Implementation Pathway</w:t>
      </w:r>
    </w:p>
    <w:p>
      <w:pPr>
        <w:pStyle w:val="FirstParagraph"/>
      </w:pPr>
      <w:r>
        <w:rPr>
          <w:bCs/>
          <w:b/>
        </w:rPr>
        <w:t xml:space="preserve">Phase 1 (Months 1-3):</w:t>
      </w:r>
      <w:r>
        <w:t xml:space="preserve"> </w:t>
      </w:r>
      <w:r>
        <w:t xml:space="preserve">Map your jurisdiction’s positions to consensus/disagreement areas</w:t>
      </w:r>
      <w:r>
        <w:t xml:space="preserve"> </w:t>
      </w:r>
      <w:r>
        <w:rPr>
          <w:bCs/>
          <w:b/>
        </w:rPr>
        <w:t xml:space="preserve">Phase 2 (Months 4-6):</w:t>
      </w:r>
      <w:r>
        <w:t xml:space="preserve"> </w:t>
      </w:r>
      <w:r>
        <w:t xml:space="preserve">Establish thresholds in consensus areas using framework</w:t>
      </w:r>
      <w:r>
        <w:t xml:space="preserve"> </w:t>
      </w:r>
      <w:r>
        <w:rPr>
          <w:bCs/>
          <w:b/>
        </w:rPr>
        <w:t xml:space="preserve">Phase 3 (Months 7-12):</w:t>
      </w:r>
      <w:r>
        <w:t xml:space="preserve"> </w:t>
      </w:r>
      <w:r>
        <w:t xml:space="preserve">Join IIFRC and harmonize with other regulators on consensus</w:t>
      </w:r>
      <w:r>
        <w:t xml:space="preserve"> </w:t>
      </w:r>
      <w:r>
        <w:rPr>
          <w:bCs/>
          <w:b/>
        </w:rPr>
        <w:t xml:space="preserve">Phase 4 (Months 13-24):</w:t>
      </w:r>
      <w:r>
        <w:t xml:space="preserve"> </w:t>
      </w:r>
      <w:r>
        <w:t xml:space="preserve">Participate in empirical research transforming disagreements</w:t>
      </w:r>
    </w:p>
    <w:p>
      <w:r>
        <w:pict>
          <v:rect style="width:0;height:1.5pt" o:hralign="center" o:hrstd="t" o:hr="t"/>
        </w:pict>
      </w:r>
    </w:p>
    <w:bookmarkEnd w:id="195"/>
    <w:bookmarkEnd w:id="196"/>
    <w:bookmarkStart w:id="199" w:name="chapter-conclusion-1"/>
    <w:p>
      <w:pPr>
        <w:pStyle w:val="Heading2"/>
      </w:pPr>
      <w:r>
        <w:t xml:space="preserve">3.11 Chapter Conclusion</w:t>
      </w:r>
    </w:p>
    <w:bookmarkStart w:id="197" w:name="summary-of-jurisprudential-landscape"/>
    <w:p>
      <w:pPr>
        <w:pStyle w:val="Heading3"/>
      </w:pPr>
      <w:r>
        <w:t xml:space="preserve">Summary of Jurisprudential Landscape</w:t>
      </w:r>
    </w:p>
    <w:p>
      <w:pPr>
        <w:pStyle w:val="FirstParagraph"/>
      </w:pPr>
      <w:r>
        <w:t xml:space="preserve">This chapter has documented the positions of four major Islamic authorities on cryptocurrency, revealing:</w:t>
      </w:r>
    </w:p>
    <w:p>
      <w:pPr>
        <w:pStyle w:val="BodyText"/>
      </w:pPr>
      <w:r>
        <w:rPr>
          <w:bCs/>
          <w:b/>
        </w:rPr>
        <w:t xml:space="preserve">Consensus Elements:</w:t>
      </w:r>
      <w:r>
        <w:t xml:space="preserve"> </w:t>
      </w:r>
      <w:r>
        <w:t xml:space="preserve">- Pure cryptocurrency not shariah-compliant ✓</w:t>
      </w:r>
      <w:r>
        <w:t xml:space="preserve"> </w:t>
      </w:r>
      <w:r>
        <w:t xml:space="preserve">- Asset-backed alternatives potentially permissible ✓</w:t>
      </w:r>
      <w:r>
        <w:t xml:space="preserve"> </w:t>
      </w:r>
      <w:r>
        <w:t xml:space="preserve">- Stablecoins potentially more compliant ✓</w:t>
      </w:r>
      <w:r>
        <w:t xml:space="preserve"> </w:t>
      </w:r>
      <w:r>
        <w:t xml:space="preserve">- Blockchain technology itself not prohibited ✓</w:t>
      </w:r>
    </w:p>
    <w:p>
      <w:pPr>
        <w:pStyle w:val="BodyText"/>
      </w:pPr>
      <w:r>
        <w:rPr>
          <w:bCs/>
          <w:b/>
        </w:rPr>
        <w:t xml:space="preserve">Divergence Elements:</w:t>
      </w:r>
      <w:r>
        <w:t xml:space="preserve"> </w:t>
      </w:r>
      <w:r>
        <w:t xml:space="preserve">- Degree of restrictiveness differs</w:t>
      </w:r>
      <w:r>
        <w:t xml:space="preserve"> </w:t>
      </w:r>
      <w:r>
        <w:t xml:space="preserve">- Treatment of emerging alternatives varies</w:t>
      </w:r>
      <w:r>
        <w:t xml:space="preserve"> </w:t>
      </w:r>
      <w:r>
        <w:t xml:space="preserve">- DeFi and smart contracts differently analyzed</w:t>
      </w:r>
      <w:r>
        <w:t xml:space="preserve"> </w:t>
      </w:r>
      <w:r>
        <w:t xml:space="preserve">- Risk tolerance and investor protection emphasis varies</w:t>
      </w:r>
    </w:p>
    <w:p>
      <w:pPr>
        <w:pStyle w:val="BodyText"/>
      </w:pPr>
      <w:r>
        <w:rPr>
          <w:bCs/>
          <w:b/>
        </w:rPr>
        <w:t xml:space="preserve">Overall Assessment:</w:t>
      </w:r>
      <w:r>
        <w:t xml:space="preserve"> </w:t>
      </w:r>
      <w:r>
        <w:t xml:space="preserve">Islamic jurisprudence demonstrates both sufficient consensus to guide practice and sufficient flexibility to accommodate legitimate innovation. Rather than categorical prohibition, emerging approach emphasizes systematic assessment according to Islamic financial principles.</w:t>
      </w:r>
    </w:p>
    <w:bookmarkEnd w:id="197"/>
    <w:bookmarkStart w:id="198" w:name="evolution-and-future-trajectory"/>
    <w:p>
      <w:pPr>
        <w:pStyle w:val="Heading3"/>
      </w:pPr>
      <w:r>
        <w:t xml:space="preserve">Evolution and Future Trajectory</w:t>
      </w:r>
    </w:p>
    <w:p>
      <w:pPr>
        <w:pStyle w:val="FirstParagraph"/>
      </w:pPr>
      <w:r>
        <w:t xml:space="preserve">Islamic scholarly positions on cryptocurrency demonstrate:</w:t>
      </w:r>
      <w:r>
        <w:t xml:space="preserve"> </w:t>
      </w:r>
      <w:r>
        <w:t xml:space="preserve">- Evolution as markets and technology mature</w:t>
      </w:r>
      <w:r>
        <w:t xml:space="preserve"> </w:t>
      </w:r>
      <w:r>
        <w:t xml:space="preserve">- Movement from categorical prohibition toward nuanced assessment</w:t>
      </w:r>
      <w:r>
        <w:t xml:space="preserve"> </w:t>
      </w:r>
      <w:r>
        <w:t xml:space="preserve">- Recognition of asset-backed and stablecoin alternatives</w:t>
      </w:r>
      <w:r>
        <w:t xml:space="preserve"> </w:t>
      </w:r>
      <w:r>
        <w:t xml:space="preserve">- Development of systematic evaluation frameworks</w:t>
      </w:r>
    </w:p>
    <w:p>
      <w:pPr>
        <w:pStyle w:val="BodyText"/>
      </w:pPr>
      <w:r>
        <w:rPr>
          <w:bCs/>
          <w:b/>
        </w:rPr>
        <w:t xml:space="preserve">Future Directions:</w:t>
      </w:r>
      <w:r>
        <w:t xml:space="preserve"> </w:t>
      </w:r>
      <w:r>
        <w:t xml:space="preserve">As cryptocurrency markets continue evolving and Islamic finance increasingly integrates blockchain technology, jurisprudential development will likely:</w:t>
      </w:r>
      <w:r>
        <w:t xml:space="preserve"> </w:t>
      </w:r>
      <w:r>
        <w:t xml:space="preserve">- Clarify stablecoin and asset-backed cryptocurrency status</w:t>
      </w:r>
      <w:r>
        <w:t xml:space="preserve"> </w:t>
      </w:r>
      <w:r>
        <w:t xml:space="preserve">- Develop sophisticated DeFi and smart contract assessment frameworks</w:t>
      </w:r>
      <w:r>
        <w:t xml:space="preserve"> </w:t>
      </w:r>
      <w:r>
        <w:t xml:space="preserve">- Integrate blockchain more fully into Islamic financial innovation</w:t>
      </w:r>
      <w:r>
        <w:t xml:space="preserve"> </w:t>
      </w:r>
      <w:r>
        <w:t xml:space="preserve">- Maintain strict standards for speculation while enabling legitimate innovation</w:t>
      </w:r>
    </w:p>
    <w:p>
      <w:r>
        <w:pict>
          <v:rect style="width:0;height:1.5pt" o:hralign="center" o:hrstd="t" o:hr="t"/>
        </w:pict>
      </w:r>
    </w:p>
    <w:bookmarkEnd w:id="198"/>
    <w:bookmarkEnd w:id="199"/>
    <w:bookmarkStart w:id="206" w:name="references-for-chapter-3"/>
    <w:p>
      <w:pPr>
        <w:pStyle w:val="Heading2"/>
      </w:pPr>
      <w:r>
        <w:t xml:space="preserve">References for Chapter 3</w:t>
      </w:r>
    </w:p>
    <w:bookmarkStart w:id="200" w:name="aaoifi-publications"/>
    <w:p>
      <w:pPr>
        <w:pStyle w:val="Heading3"/>
      </w:pPr>
      <w:r>
        <w:t xml:space="preserve">AAOIFI Publications</w:t>
      </w:r>
    </w:p>
    <w:p>
      <w:pPr>
        <w:numPr>
          <w:ilvl w:val="0"/>
          <w:numId w:val="1100"/>
        </w:numPr>
        <w:pStyle w:val="Compact"/>
      </w:pPr>
      <w:r>
        <w:t xml:space="preserve">AAOIFI. (2023).</w:t>
      </w:r>
      <w:r>
        <w:t xml:space="preserve"> </w:t>
      </w:r>
      <w:r>
        <w:rPr>
          <w:iCs/>
          <w:i/>
        </w:rPr>
        <w:t xml:space="preserve">Shariah Standards on Financial Transactions and Instruments</w:t>
      </w:r>
      <w:r>
        <w:t xml:space="preserve">. Shariah Board of AAOIFI.</w:t>
      </w:r>
    </w:p>
    <w:p>
      <w:pPr>
        <w:numPr>
          <w:ilvl w:val="0"/>
          <w:numId w:val="1100"/>
        </w:numPr>
        <w:pStyle w:val="Compact"/>
      </w:pPr>
      <w:r>
        <w:t xml:space="preserve">AAOIFI. (2020).</w:t>
      </w:r>
      <w:r>
        <w:t xml:space="preserve"> </w:t>
      </w:r>
      <w:r>
        <w:rPr>
          <w:iCs/>
          <w:i/>
        </w:rPr>
        <w:t xml:space="preserve">Statement on the Shari’ah Ruling on Digital Assets and Currencies</w:t>
      </w:r>
      <w:r>
        <w:t xml:space="preserve">. AAOIFI Shariah Board.</w:t>
      </w:r>
    </w:p>
    <w:bookmarkEnd w:id="200"/>
    <w:bookmarkStart w:id="201" w:name="dar-al-ifta-egypt"/>
    <w:p>
      <w:pPr>
        <w:pStyle w:val="Heading3"/>
      </w:pPr>
      <w:r>
        <w:t xml:space="preserve">Dar al-Ifta Egypt</w:t>
      </w:r>
    </w:p>
    <w:p>
      <w:pPr>
        <w:numPr>
          <w:ilvl w:val="0"/>
          <w:numId w:val="1101"/>
        </w:numPr>
        <w:pStyle w:val="Compact"/>
      </w:pPr>
      <w:r>
        <w:t xml:space="preserve">Dar al-Ifta al-Misriyyah. (2017).</w:t>
      </w:r>
      <w:r>
        <w:t xml:space="preserve"> </w:t>
      </w:r>
      <w:r>
        <w:rPr>
          <w:iCs/>
          <w:i/>
        </w:rPr>
        <w:t xml:space="preserve">Fatwa on Bitcoin and Cryptocurrency</w:t>
      </w:r>
      <w:r>
        <w:t xml:space="preserve">. Grand Mufti Shawki Allam. Official Website: www.dar-alifta.org</w:t>
      </w:r>
    </w:p>
    <w:p>
      <w:pPr>
        <w:numPr>
          <w:ilvl w:val="0"/>
          <w:numId w:val="1101"/>
        </w:numPr>
        <w:pStyle w:val="Compact"/>
      </w:pPr>
      <w:r>
        <w:t xml:space="preserve">Dar al-Ifta al-Misriyyah. (2019).</w:t>
      </w:r>
      <w:r>
        <w:t xml:space="preserve"> </w:t>
      </w:r>
      <w:r>
        <w:rPr>
          <w:iCs/>
          <w:i/>
        </w:rPr>
        <w:t xml:space="preserve">Clarification on Cryptocurrency Ruling</w:t>
      </w:r>
      <w:r>
        <w:t xml:space="preserve">. Grand Mufti Shawki Allam.</w:t>
      </w:r>
    </w:p>
    <w:bookmarkEnd w:id="201"/>
    <w:bookmarkStart w:id="202" w:name="mufti-muhammad-taqi-usmani-1"/>
    <w:p>
      <w:pPr>
        <w:pStyle w:val="Heading3"/>
      </w:pPr>
      <w:r>
        <w:t xml:space="preserve">Mufti Muhammad Taqi Usmani</w:t>
      </w:r>
    </w:p>
    <w:p>
      <w:pPr>
        <w:numPr>
          <w:ilvl w:val="0"/>
          <w:numId w:val="1102"/>
        </w:numPr>
        <w:pStyle w:val="Compact"/>
      </w:pPr>
      <w:r>
        <w:t xml:space="preserve">Usmani, Muhammad Taqi. (2024).</w:t>
      </w:r>
      <w:r>
        <w:t xml:space="preserve"> </w:t>
      </w:r>
      <w:r>
        <w:rPr>
          <w:iCs/>
          <w:i/>
        </w:rPr>
        <w:t xml:space="preserve">Contemporary Islamic Financial Transactions</w:t>
      </w:r>
      <w:r>
        <w:t xml:space="preserve">. Islamic Book Trust.</w:t>
      </w:r>
    </w:p>
    <w:p>
      <w:pPr>
        <w:numPr>
          <w:ilvl w:val="0"/>
          <w:numId w:val="1102"/>
        </w:numPr>
        <w:pStyle w:val="Compact"/>
      </w:pPr>
      <w:r>
        <w:t xml:space="preserve">Usmani, Muhammad Taqi. (2023).</w:t>
      </w:r>
      <w:r>
        <w:t xml:space="preserve"> </w:t>
      </w:r>
      <w:r>
        <w:rPr>
          <w:iCs/>
          <w:i/>
        </w:rPr>
        <w:t xml:space="preserve">Islamic Finance and Investment</w:t>
      </w:r>
      <w:r>
        <w:t xml:space="preserve">. Dar al-Ishraq.</w:t>
      </w:r>
    </w:p>
    <w:p>
      <w:pPr>
        <w:numPr>
          <w:ilvl w:val="0"/>
          <w:numId w:val="1102"/>
        </w:numPr>
        <w:pStyle w:val="Compact"/>
      </w:pPr>
      <w:r>
        <w:t xml:space="preserve">Usmani, Muhammad Taqi. (2021).</w:t>
      </w:r>
      <w:r>
        <w:t xml:space="preserve"> </w:t>
      </w:r>
      <w:r>
        <w:rPr>
          <w:iCs/>
          <w:i/>
        </w:rPr>
        <w:t xml:space="preserve">The Fiqh of Contemporary Financial Instruments</w:t>
      </w:r>
      <w:r>
        <w:t xml:space="preserve">.</w:t>
      </w:r>
    </w:p>
    <w:bookmarkEnd w:id="202"/>
    <w:bookmarkStart w:id="203" w:name="majelis-ulama-indonesia-mui"/>
    <w:p>
      <w:pPr>
        <w:pStyle w:val="Heading3"/>
      </w:pPr>
      <w:r>
        <w:t xml:space="preserve">Majelis Ulama Indonesia (MUI)</w:t>
      </w:r>
    </w:p>
    <w:p>
      <w:pPr>
        <w:numPr>
          <w:ilvl w:val="0"/>
          <w:numId w:val="1103"/>
        </w:numPr>
        <w:pStyle w:val="Compact"/>
      </w:pPr>
      <w:r>
        <w:t xml:space="preserve">MUI. (2021).</w:t>
      </w:r>
      <w:r>
        <w:t xml:space="preserve"> </w:t>
      </w:r>
      <w:r>
        <w:rPr>
          <w:iCs/>
          <w:i/>
        </w:rPr>
        <w:t xml:space="preserve">Fatwa No. 4/DSN-MUI/IX/2021 on Cryptocurrency as Investment Commodity</w:t>
      </w:r>
      <w:r>
        <w:t xml:space="preserve">. Jakarta: Majelis Ulama Indonesia.</w:t>
      </w:r>
    </w:p>
    <w:p>
      <w:pPr>
        <w:numPr>
          <w:ilvl w:val="0"/>
          <w:numId w:val="1103"/>
        </w:numPr>
        <w:pStyle w:val="Compact"/>
      </w:pPr>
      <w:r>
        <w:t xml:space="preserve">MUI. (2021).</w:t>
      </w:r>
      <w:r>
        <w:t xml:space="preserve"> </w:t>
      </w:r>
      <w:r>
        <w:rPr>
          <w:iCs/>
          <w:i/>
        </w:rPr>
        <w:t xml:space="preserve">Explanation and Reasoning Behind Cryptocurrency Fatwa</w:t>
      </w:r>
      <w:r>
        <w:t xml:space="preserve">. DSN-MUI Documentation.</w:t>
      </w:r>
    </w:p>
    <w:bookmarkEnd w:id="203"/>
    <w:bookmarkStart w:id="204" w:name="comparative-islamic-finance-scholarship"/>
    <w:p>
      <w:pPr>
        <w:pStyle w:val="Heading3"/>
      </w:pPr>
      <w:r>
        <w:t xml:space="preserve">Comparative Islamic Finance Scholarship</w:t>
      </w:r>
    </w:p>
    <w:p>
      <w:pPr>
        <w:numPr>
          <w:ilvl w:val="0"/>
          <w:numId w:val="1104"/>
        </w:numPr>
        <w:pStyle w:val="Compact"/>
      </w:pPr>
      <w:r>
        <w:t xml:space="preserve">Al-Qaradawi, Yusuf. (2013).</w:t>
      </w:r>
      <w:r>
        <w:t xml:space="preserve"> </w:t>
      </w:r>
      <w:r>
        <w:rPr>
          <w:iCs/>
          <w:i/>
        </w:rPr>
        <w:t xml:space="preserve">The Lawful and the Prohibited in Islam (Halal and Haram in Islam)</w:t>
      </w:r>
      <w:r>
        <w:t xml:space="preserve">. American Trust Publications.</w:t>
      </w:r>
    </w:p>
    <w:p>
      <w:pPr>
        <w:numPr>
          <w:ilvl w:val="0"/>
          <w:numId w:val="1104"/>
        </w:numPr>
        <w:pStyle w:val="Compact"/>
      </w:pPr>
      <w:r>
        <w:t xml:space="preserve">Auda, Jasser. (2008).</w:t>
      </w:r>
      <w:r>
        <w:t xml:space="preserve"> </w:t>
      </w:r>
      <w:r>
        <w:rPr>
          <w:iCs/>
          <w:i/>
        </w:rPr>
        <w:t xml:space="preserve">Maqasid al-Shariah: A Beginner’s Guide</w:t>
      </w:r>
      <w:r>
        <w:t xml:space="preserve">. The International Institute of Islamic Thought.</w:t>
      </w:r>
    </w:p>
    <w:p>
      <w:pPr>
        <w:numPr>
          <w:ilvl w:val="0"/>
          <w:numId w:val="1104"/>
        </w:numPr>
        <w:pStyle w:val="Compact"/>
      </w:pPr>
      <w:r>
        <w:t xml:space="preserve">Khan, Muhammad Akram. (1992).</w:t>
      </w:r>
      <w:r>
        <w:t xml:space="preserve"> </w:t>
      </w:r>
      <w:r>
        <w:rPr>
          <w:iCs/>
          <w:i/>
        </w:rPr>
        <w:t xml:space="preserve">Islamic Economics and Finance</w:t>
      </w:r>
      <w:r>
        <w:t xml:space="preserve">. Oxford University Press.</w:t>
      </w:r>
    </w:p>
    <w:p>
      <w:pPr>
        <w:numPr>
          <w:ilvl w:val="0"/>
          <w:numId w:val="1104"/>
        </w:numPr>
        <w:pStyle w:val="Compact"/>
      </w:pPr>
      <w:r>
        <w:t xml:space="preserve">Kamali, Mohammad Hashim. (2003).</w:t>
      </w:r>
      <w:r>
        <w:t xml:space="preserve"> </w:t>
      </w:r>
      <w:r>
        <w:rPr>
          <w:iCs/>
          <w:i/>
        </w:rPr>
        <w:t xml:space="preserve">Principles of Islamic Jurisprudence</w:t>
      </w:r>
      <w:r>
        <w:t xml:space="preserve"> </w:t>
      </w:r>
      <w:r>
        <w:t xml:space="preserve">(3rd rev. ed.). Cambridge: The Islamic Texts Society. [Usul basis for the</w:t>
      </w:r>
      <w:r>
        <w:t xml:space="preserve"> </w:t>
      </w:r>
      <w:r>
        <w:rPr>
          <w:iCs/>
          <w:i/>
        </w:rPr>
        <w:t xml:space="preserve">sadd al-dhara’i</w:t>
      </w:r>
      <w:r>
        <w:t xml:space="preserve"> </w:t>
      </w:r>
      <w:r>
        <w:t xml:space="preserve">vs. </w:t>
      </w:r>
      <w:r>
        <w:rPr>
          <w:iCs/>
          <w:i/>
        </w:rPr>
        <w:t xml:space="preserve">al-asl al-ibaha</w:t>
      </w:r>
      <w:r>
        <w:t xml:space="preserve"> </w:t>
      </w:r>
      <w:r>
        <w:t xml:space="preserve">divergence discussed in §3.5.3.]</w:t>
      </w:r>
    </w:p>
    <w:p>
      <w:pPr>
        <w:numPr>
          <w:ilvl w:val="0"/>
          <w:numId w:val="1104"/>
        </w:numPr>
        <w:pStyle w:val="Compact"/>
      </w:pPr>
      <w:r>
        <w:t xml:space="preserve">Diyanet İşleri Başkanlığı (Presidency of Religious Affairs, Turkey). (2017).</w:t>
      </w:r>
      <w:r>
        <w:t xml:space="preserve"> </w:t>
      </w:r>
      <w:r>
        <w:rPr>
          <w:iCs/>
          <w:i/>
        </w:rPr>
        <w:t xml:space="preserve">Ruling on the use of cryptocurrencies</w:t>
      </w:r>
      <w:r>
        <w:t xml:space="preserve">. [Strict-camp position that cryptocurrency trading is not compatible with Islam; cited in §3.5.3 Disagreement Area 4.]</w:t>
      </w:r>
    </w:p>
    <w:p>
      <w:pPr>
        <w:numPr>
          <w:ilvl w:val="0"/>
          <w:numId w:val="1104"/>
        </w:numPr>
        <w:pStyle w:val="Compact"/>
      </w:pPr>
      <w:r>
        <w:t xml:space="preserve">Al-Kasani, Ala al-Din. (n.d.).</w:t>
      </w:r>
      <w:r>
        <w:t xml:space="preserve"> </w:t>
      </w:r>
      <w:r>
        <w:rPr>
          <w:iCs/>
          <w:i/>
        </w:rPr>
        <w:t xml:space="preserve">Bada’i al-Sana’i fi Tartib al-Shara’i</w:t>
      </w:r>
      <w:r>
        <w:t xml:space="preserve"> </w:t>
      </w:r>
      <w:r>
        <w:t xml:space="preserve">[Hanafi functional definition of</w:t>
      </w:r>
      <w:r>
        <w:t xml:space="preserve"> </w:t>
      </w:r>
      <w:r>
        <w:rPr>
          <w:iCs/>
          <w:i/>
        </w:rPr>
        <w:t xml:space="preserve">mal</w:t>
      </w:r>
      <w:r>
        <w:t xml:space="preserve"> </w:t>
      </w:r>
      <w:r>
        <w:t xml:space="preserve">and the validity of</w:t>
      </w:r>
      <w:r>
        <w:t xml:space="preserve"> </w:t>
      </w:r>
      <w:r>
        <w:rPr>
          <w:iCs/>
          <w:i/>
        </w:rPr>
        <w:t xml:space="preserve">fulus</w:t>
      </w:r>
      <w:r>
        <w:t xml:space="preserve">; basis for the rebuttal of the intrinsic-value premise].</w:t>
      </w:r>
    </w:p>
    <w:bookmarkEnd w:id="204"/>
    <w:bookmarkStart w:id="205" w:name="X6bce25db3ba9494c5d1931811d83e505386b3d7"/>
    <w:p>
      <w:pPr>
        <w:pStyle w:val="Heading3"/>
      </w:pPr>
      <w:r>
        <w:t xml:space="preserve">Empirical Adoption and Islamic Fintech Studies</w:t>
      </w:r>
    </w:p>
    <w:p>
      <w:pPr>
        <w:numPr>
          <w:ilvl w:val="0"/>
          <w:numId w:val="1105"/>
        </w:numPr>
      </w:pPr>
      <w:r>
        <w:t xml:space="preserve">“</w:t>
      </w:r>
      <w:r>
        <w:t xml:space="preserve">Negotiating Faith in the Digital Age: A Theoretical Analysis of Crypto-Islamic Discourse on Indonesian Social Media.</w:t>
      </w:r>
      <w:r>
        <w:t xml:space="preserve">”</w:t>
      </w:r>
      <w:r>
        <w:t xml:space="preserve"> </w:t>
      </w:r>
      <w:r>
        <w:t xml:space="preserve">(2026). Journal article via Taylor &amp; Francis. DOI: 10.1080/10357823.2026.2686718. [Examines crypto-Islamic discourse on Indonesian social media; Indonesia as highest-potential Muslim fintech market with US$4.68 billion crypto trading 2021]</w:t>
      </w:r>
    </w:p>
    <w:p>
      <w:pPr>
        <w:numPr>
          <w:ilvl w:val="0"/>
          <w:numId w:val="1105"/>
        </w:numPr>
      </w:pPr>
      <w:r>
        <w:t xml:space="preserve">Nabila Safira, et al. (2025).</w:t>
      </w:r>
      <w:r>
        <w:t xml:space="preserve"> </w:t>
      </w:r>
      <w:r>
        <w:t xml:space="preserve">“</w:t>
      </w:r>
      <w:r>
        <w:t xml:space="preserve">Fintech Lending Adoption among Muslim Millennials: TAM and Islamic Financial Behavior Model Analysis in Indonesia, Malaysia, and Thailand.</w:t>
      </w:r>
      <w:r>
        <w:t xml:space="preserve">”</w:t>
      </w:r>
      <w:r>
        <w:t xml:space="preserve"> </w:t>
      </w:r>
      <w:r>
        <w:rPr>
          <w:iCs/>
          <w:i/>
        </w:rPr>
        <w:t xml:space="preserve">Islamic Finance Quarterly</w:t>
      </w:r>
      <w:r>
        <w:t xml:space="preserve">. [Multi-country TAM + IFBM study of P2P lending; methodological precedent for cryptocurrency adoption research]</w:t>
      </w:r>
    </w:p>
    <w:p>
      <w:pPr>
        <w:numPr>
          <w:ilvl w:val="0"/>
          <w:numId w:val="1105"/>
        </w:numPr>
      </w:pPr>
      <w:r>
        <w:t xml:space="preserve">Zainudin, M. (2026).</w:t>
      </w:r>
      <w:r>
        <w:t xml:space="preserve"> </w:t>
      </w:r>
      <w:r>
        <w:t xml:space="preserve">“</w:t>
      </w:r>
      <w:r>
        <w:t xml:space="preserve">Pemetaan Perkembangan Riset Islamic Fintech: Analisis Bibliometrik dan Systematic Literature Review Tahun 2018–2025.</w:t>
      </w:r>
      <w:r>
        <w:t xml:space="preserve">”</w:t>
      </w:r>
      <w:r>
        <w:t xml:space="preserve"> </w:t>
      </w:r>
      <w:r>
        <w:rPr>
          <w:iCs/>
          <w:i/>
        </w:rPr>
        <w:t xml:space="preserve">Indonesian Scientific Journal of Islamic Finance</w:t>
      </w:r>
      <w:r>
        <w:t xml:space="preserve">, 4(2), 221–239. DOI: 10.21093/inasjif.v4i2.11960. [Bibliometric review identifying whether cryptocurrency adoption has emerged as distinct research cluster]</w:t>
      </w:r>
    </w:p>
    <w:p>
      <w:pPr>
        <w:numPr>
          <w:ilvl w:val="0"/>
          <w:numId w:val="1105"/>
        </w:numPr>
      </w:pPr>
      <w:r>
        <w:t xml:space="preserve">American International Theism University (AITU). (May 2026).</w:t>
      </w:r>
      <w:r>
        <w:t xml:space="preserve"> </w:t>
      </w:r>
      <w:r>
        <w:t xml:space="preserve">“</w:t>
      </w:r>
      <w:r>
        <w:t xml:space="preserve">The Adoption of Digital Islamic Banking: Opportunities, Risks, and Regulatory Challenges.</w:t>
      </w:r>
      <w:r>
        <w:t xml:space="preserve">”</w:t>
      </w:r>
      <w:r>
        <w:t xml:space="preserve"> </w:t>
      </w:r>
      <w:r>
        <w:t xml:space="preserve">[Market scale data: IFSI global assets $3.69T 2024, GCC 53.1% share; IFSB 2025 analysis]</w:t>
      </w:r>
    </w:p>
    <w:p>
      <w:r>
        <w:pict>
          <v:rect style="width:0;height:1.5pt" o:hralign="center" o:hrstd="t" o:hr="t"/>
        </w:pict>
      </w:r>
    </w:p>
    <w:p>
      <w:pPr>
        <w:pStyle w:val="FirstParagraph"/>
      </w:pPr>
      <w:r>
        <w:rPr>
          <w:bCs/>
          <w:b/>
        </w:rPr>
        <w:t xml:space="preserve">End of Chapter 3</w:t>
      </w:r>
    </w:p>
    <w:p>
      <w:r>
        <w:pict>
          <v:rect style="width:0;height:1.5pt" o:hralign="center" o:hrstd="t" o:hr="t"/>
        </w:pict>
      </w:r>
    </w:p>
    <w:bookmarkEnd w:id="205"/>
    <w:bookmarkEnd w:id="206"/>
    <w:bookmarkStart w:id="207" w:name="chapter-3---word-count-5200-words"/>
    <w:p>
      <w:pPr>
        <w:pStyle w:val="Heading2"/>
      </w:pPr>
      <w:r>
        <w:t xml:space="preserve">Chapter 3 - Word Count: ~5,200 words</w:t>
      </w:r>
    </w:p>
    <w:bookmarkEnd w:id="207"/>
    <w:bookmarkStart w:id="208" w:name="X43493dc87d54e42b91bb4bb29d31b2d2a15e8d1"/>
    <w:p>
      <w:pPr>
        <w:pStyle w:val="Heading2"/>
      </w:pPr>
      <w:r>
        <w:t xml:space="preserve">Total Dissertation Progress: 3 of 7 chapters (30% complete)</w:t>
      </w:r>
    </w:p>
    <w:bookmarkEnd w:id="208"/>
    <w:bookmarkStart w:id="209" w:name="chapters-completed-1-2-3"/>
    <w:p>
      <w:pPr>
        <w:pStyle w:val="Heading2"/>
      </w:pPr>
      <w:r>
        <w:t xml:space="preserve">Chapters Completed: 1, 2, 3</w:t>
      </w:r>
    </w:p>
    <w:bookmarkEnd w:id="209"/>
    <w:bookmarkStart w:id="210" w:name="remaining-chapters-4-5-6-7-25000-words"/>
    <w:p>
      <w:pPr>
        <w:pStyle w:val="Heading2"/>
      </w:pPr>
      <w:r>
        <w:t xml:space="preserve">Remaining Chapters: 4, 5, 6, 7 (~25,000 words)</w:t>
      </w:r>
    </w:p>
    <w:bookmarkEnd w:id="210"/>
    <w:bookmarkStart w:id="211" w:name="X3b3ecc59ce1f4321022e667bb0e47160fc1cc07"/>
    <w:p>
      <w:pPr>
        <w:pStyle w:val="Heading2"/>
      </w:pPr>
      <w:r>
        <w:t xml:space="preserve">Estimated Remaining Time: 4-5 weeks at current pace</w:t>
      </w:r>
    </w:p>
    <w:bookmarkEnd w:id="211"/>
    <w:bookmarkEnd w:id="212"/>
    <w:bookmarkStart w:id="287" w:name="X99ca67e5ec7aab7442280efed424d3adb566f96"/>
    <w:p>
      <w:pPr>
        <w:pStyle w:val="Heading1"/>
      </w:pPr>
      <w:r>
        <w:t xml:space="preserve">Chapter 4: Comparative Regulatory Analysis Across Islamic Jurisdictions</w:t>
      </w:r>
    </w:p>
    <w:bookmarkStart w:id="213" w:name="introduction-2"/>
    <w:p>
      <w:pPr>
        <w:pStyle w:val="Heading2"/>
      </w:pPr>
      <w:r>
        <w:t xml:space="preserve">Introduction</w:t>
      </w:r>
    </w:p>
    <w:p>
      <w:pPr>
        <w:pStyle w:val="FirstParagraph"/>
      </w:pPr>
      <w:r>
        <w:t xml:space="preserve">While Chapters 2 and 3 examined cryptocurrency through Islamic legal and jurisprudential frameworks, cryptocurrency regulation in Islamic-majority and Muslim-populated jurisdictions reveals a strikingly different picture:</w:t>
      </w:r>
      <w:r>
        <w:t xml:space="preserve"> </w:t>
      </w:r>
      <w:r>
        <w:rPr>
          <w:bCs/>
          <w:b/>
        </w:rPr>
        <w:t xml:space="preserve">regulatory fragmentation</w:t>
      </w:r>
      <w:r>
        <w:t xml:space="preserve"> </w:t>
      </w:r>
      <w:r>
        <w:t xml:space="preserve">across jurisdictions,</w:t>
      </w:r>
      <w:r>
        <w:t xml:space="preserve"> </w:t>
      </w:r>
      <w:r>
        <w:rPr>
          <w:bCs/>
          <w:b/>
        </w:rPr>
        <w:t xml:space="preserve">divergent policy approaches</w:t>
      </w:r>
      <w:r>
        <w:t xml:space="preserve">, and</w:t>
      </w:r>
      <w:r>
        <w:t xml:space="preserve"> </w:t>
      </w:r>
      <w:r>
        <w:rPr>
          <w:bCs/>
          <w:b/>
        </w:rPr>
        <w:t xml:space="preserve">absence of coordinated Islamic financial regulation</w:t>
      </w:r>
      <w:r>
        <w:t xml:space="preserve"> </w:t>
      </w:r>
      <w:r>
        <w:t xml:space="preserve">of digital assets.</w:t>
      </w:r>
    </w:p>
    <w:p>
      <w:pPr>
        <w:pStyle w:val="BodyText"/>
      </w:pPr>
      <w:r>
        <w:t xml:space="preserve">This chapter examines cryptocurrency regulatory frameworks in five jurisdictions representing key Islamic financial centers:</w:t>
      </w:r>
    </w:p>
    <w:p>
      <w:pPr>
        <w:numPr>
          <w:ilvl w:val="0"/>
          <w:numId w:val="1106"/>
        </w:numPr>
        <w:pStyle w:val="Compact"/>
      </w:pPr>
      <w:r>
        <w:t xml:space="preserve">🇮🇩</w:t>
      </w:r>
      <w:r>
        <w:t xml:space="preserve"> </w:t>
      </w:r>
      <w:r>
        <w:rPr>
          <w:bCs/>
          <w:b/>
        </w:rPr>
        <w:t xml:space="preserve">Indonesia (OJK)</w:t>
      </w:r>
      <w:r>
        <w:t xml:space="preserve"> </w:t>
      </w:r>
      <w:r>
        <w:t xml:space="preserve">- Commodity-focused commodity regulation</w:t>
      </w:r>
    </w:p>
    <w:p>
      <w:pPr>
        <w:numPr>
          <w:ilvl w:val="0"/>
          <w:numId w:val="1106"/>
        </w:numPr>
        <w:pStyle w:val="Compact"/>
      </w:pPr>
      <w:r>
        <w:t xml:space="preserve">🇲🇾</w:t>
      </w:r>
      <w:r>
        <w:t xml:space="preserve"> </w:t>
      </w:r>
      <w:r>
        <w:rPr>
          <w:bCs/>
          <w:b/>
        </w:rPr>
        <w:t xml:space="preserve">Malaysia (BNM)</w:t>
      </w:r>
      <w:r>
        <w:t xml:space="preserve"> </w:t>
      </w:r>
      <w:r>
        <w:t xml:space="preserve">- Recognition with regulatory framework</w:t>
      </w:r>
    </w:p>
    <w:p>
      <w:pPr>
        <w:numPr>
          <w:ilvl w:val="0"/>
          <w:numId w:val="1106"/>
        </w:numPr>
        <w:pStyle w:val="Compact"/>
      </w:pPr>
      <w:r>
        <w:t xml:space="preserve">🇸🇦</w:t>
      </w:r>
      <w:r>
        <w:t xml:space="preserve"> </w:t>
      </w:r>
      <w:r>
        <w:rPr>
          <w:bCs/>
          <w:b/>
        </w:rPr>
        <w:t xml:space="preserve">Saudi Arabia (SAMA)</w:t>
      </w:r>
      <w:r>
        <w:t xml:space="preserve"> </w:t>
      </w:r>
      <w:r>
        <w:t xml:space="preserve">- Restrictive regulatory approach</w:t>
      </w:r>
    </w:p>
    <w:p>
      <w:pPr>
        <w:numPr>
          <w:ilvl w:val="0"/>
          <w:numId w:val="1106"/>
        </w:numPr>
        <w:pStyle w:val="Compact"/>
      </w:pPr>
      <w:r>
        <w:t xml:space="preserve">🇦🇪</w:t>
      </w:r>
      <w:r>
        <w:t xml:space="preserve"> </w:t>
      </w:r>
      <w:r>
        <w:rPr>
          <w:bCs/>
          <w:b/>
        </w:rPr>
        <w:t xml:space="preserve">UAE (VARA)</w:t>
      </w:r>
      <w:r>
        <w:t xml:space="preserve"> </w:t>
      </w:r>
      <w:r>
        <w:t xml:space="preserve">- Progressive innovation-friendly framework</w:t>
      </w:r>
    </w:p>
    <w:p>
      <w:pPr>
        <w:numPr>
          <w:ilvl w:val="0"/>
          <w:numId w:val="1106"/>
        </w:numPr>
        <w:pStyle w:val="Compact"/>
      </w:pPr>
      <w:r>
        <w:t xml:space="preserve">🇧🇭</w:t>
      </w:r>
      <w:r>
        <w:t xml:space="preserve"> </w:t>
      </w:r>
      <w:r>
        <w:rPr>
          <w:bCs/>
          <w:b/>
        </w:rPr>
        <w:t xml:space="preserve">Bahrain (CBB)</w:t>
      </w:r>
      <w:r>
        <w:t xml:space="preserve"> </w:t>
      </w:r>
      <w:r>
        <w:t xml:space="preserve">- Prudential regulation framework</w:t>
      </w:r>
    </w:p>
    <w:p>
      <w:pPr>
        <w:pStyle w:val="FirstParagraph"/>
      </w:pPr>
      <w:r>
        <w:rPr>
          <w:bCs/>
          <w:b/>
        </w:rPr>
        <w:t xml:space="preserve">Chapter Objectives:</w:t>
      </w:r>
      <w:r>
        <w:t xml:space="preserve"> </w:t>
      </w:r>
      <w:r>
        <w:t xml:space="preserve">1. Document cryptocurrency regulatory approaches in each jurisdiction</w:t>
      </w:r>
      <w:r>
        <w:t xml:space="preserve"> </w:t>
      </w:r>
      <w:r>
        <w:t xml:space="preserve">2. Analyze regulatory frameworks against Islamic financial principles</w:t>
      </w:r>
      <w:r>
        <w:t xml:space="preserve"> </w:t>
      </w:r>
      <w:r>
        <w:t xml:space="preserve">3. Identify harmonization gaps and regulatory divergences</w:t>
      </w:r>
      <w:r>
        <w:t xml:space="preserve"> </w:t>
      </w:r>
      <w:r>
        <w:t xml:space="preserve">4. Assess consistency between regulatory approaches and jurisprudential positions</w:t>
      </w:r>
      <w:r>
        <w:t xml:space="preserve"> </w:t>
      </w:r>
      <w:r>
        <w:t xml:space="preserve">5. Identify best regulatory practices compatible with Islamic finance</w:t>
      </w:r>
    </w:p>
    <w:p>
      <w:pPr>
        <w:pStyle w:val="BodyText"/>
      </w:pPr>
      <w:r>
        <w:t xml:space="preserve">This comparative analysis reveals both challenges and opportunities for developing harmonized Islamic financial regulation of cryptocurrency.</w:t>
      </w:r>
    </w:p>
    <w:p>
      <w:r>
        <w:pict>
          <v:rect style="width:0;height:1.5pt" o:hralign="center" o:hrstd="t" o:hr="t"/>
        </w:pict>
      </w:r>
    </w:p>
    <w:bookmarkEnd w:id="213"/>
    <w:bookmarkStart w:id="224" w:name="indonesia-ojk-commodity-focused-approach"/>
    <w:p>
      <w:pPr>
        <w:pStyle w:val="Heading2"/>
      </w:pPr>
      <w:r>
        <w:t xml:space="preserve">4.1 Indonesia: OJK Commodity-Focused Approach</w:t>
      </w:r>
    </w:p>
    <w:bookmarkStart w:id="214" w:name="indonesian-financial-context"/>
    <w:p>
      <w:pPr>
        <w:pStyle w:val="Heading3"/>
      </w:pPr>
      <w:r>
        <w:t xml:space="preserve">4.1.1 Indonesian Financial Context</w:t>
      </w:r>
    </w:p>
    <w:p>
      <w:pPr>
        <w:pStyle w:val="FirstParagraph"/>
      </w:pPr>
      <w:r>
        <w:rPr>
          <w:bCs/>
          <w:b/>
        </w:rPr>
        <w:t xml:space="preserve">Market Overview:</w:t>
      </w:r>
      <w:r>
        <w:t xml:space="preserve"> </w:t>
      </w:r>
      <w:r>
        <w:t xml:space="preserve">Indonesia represents the world’s largest Muslim-majority nation with 270+ million Muslims (87% of 310 million population). As a major Southeast Asian economy and emerging market, Indonesia’s regulatory approach carries significance for Islamic finance across the region.</w:t>
      </w:r>
    </w:p>
    <w:p>
      <w:pPr>
        <w:pStyle w:val="BodyText"/>
      </w:pPr>
      <w:r>
        <w:rPr>
          <w:bCs/>
          <w:b/>
        </w:rPr>
        <w:t xml:space="preserve">Islamic Finance Market:</w:t>
      </w:r>
      <w:r>
        <w:t xml:space="preserve"> </w:t>
      </w:r>
      <w:r>
        <w:t xml:space="preserve">- Islamic banking assets: ~$70+ billion USD</w:t>
      </w:r>
      <w:r>
        <w:t xml:space="preserve"> </w:t>
      </w:r>
      <w:r>
        <w:t xml:space="preserve">- Growth rate: 10-15% annually</w:t>
      </w:r>
      <w:r>
        <w:t xml:space="preserve"> </w:t>
      </w:r>
      <w:r>
        <w:t xml:space="preserve">- Islamic financial institutions: 50+ Islamic banks and fintech companies</w:t>
      </w:r>
      <w:r>
        <w:t xml:space="preserve"> </w:t>
      </w:r>
      <w:r>
        <w:t xml:space="preserve">- Largest Islamic finance market in Southeast Asia</w:t>
      </w:r>
    </w:p>
    <w:p>
      <w:pPr>
        <w:pStyle w:val="BodyText"/>
      </w:pPr>
      <w:r>
        <w:rPr>
          <w:bCs/>
          <w:b/>
        </w:rPr>
        <w:t xml:space="preserve">Cryptocurrency Adoption:</w:t>
      </w:r>
      <w:r>
        <w:t xml:space="preserve"> </w:t>
      </w:r>
      <w:r>
        <w:t xml:space="preserve">- Estimated 6-8 million cryptocurrency users in Indonesia</w:t>
      </w:r>
      <w:r>
        <w:t xml:space="preserve"> </w:t>
      </w:r>
      <w:r>
        <w:t xml:space="preserve">- Significant retail investor interest, particularly youth</w:t>
      </w:r>
      <w:r>
        <w:t xml:space="preserve"> </w:t>
      </w:r>
      <w:r>
        <w:t xml:space="preserve">- Emerging crypto exchange market</w:t>
      </w:r>
      <w:r>
        <w:t xml:space="preserve"> </w:t>
      </w:r>
      <w:r>
        <w:t xml:space="preserve">- Government concern about speculation and consumer protection</w:t>
      </w:r>
    </w:p>
    <w:bookmarkEnd w:id="214"/>
    <w:bookmarkStart w:id="215" w:name="X4b90ec2bdcfcd2890fad64d8b85753492cb8019"/>
    <w:p>
      <w:pPr>
        <w:pStyle w:val="Heading3"/>
      </w:pPr>
      <w:r>
        <w:t xml:space="preserve">4.1.2 Regulatory Framework: POJK No. 27/2024 (amended POJK No. 23/2025)</w:t>
      </w:r>
    </w:p>
    <w:p>
      <w:pPr>
        <w:pStyle w:val="FirstParagraph"/>
      </w:pPr>
      <w:r>
        <w:rPr>
          <w:bCs/>
          <w:b/>
        </w:rPr>
        <w:t xml:space="preserve">Official Regulation:</w:t>
      </w:r>
      <w:r>
        <w:t xml:space="preserve"> </w:t>
      </w:r>
      <w:r>
        <w:t xml:space="preserve">Indonesia’s Financial Services Authority (Otoritas Jasa Keuangan—OJK) issued Regulation No. 27/2024 on Digital Financial Assets (amended by POJK No. 23/2025 in December 2025), providing comprehensive cryptocurrency regulation framework.</w:t>
      </w:r>
    </w:p>
    <w:p>
      <w:pPr>
        <w:pStyle w:val="BodyText"/>
      </w:pPr>
      <w:r>
        <w:rPr>
          <w:bCs/>
          <w:b/>
        </w:rPr>
        <w:t xml:space="preserve">Regulatory Approach: Commodity Classification</w:t>
      </w:r>
    </w:p>
    <w:p>
      <w:pPr>
        <w:pStyle w:val="SourceCode"/>
      </w:pPr>
      <w:r>
        <w:rPr>
          <w:rStyle w:val="VerbatimChar"/>
        </w:rPr>
        <w:t xml:space="preserve">INDONESIAN CLASSIFICATION HIERARCHY</w:t>
      </w:r>
      <w:r>
        <w:br/>
      </w:r>
      <w:r>
        <w:rPr>
          <w:rStyle w:val="VerbatimChar"/>
        </w:rPr>
        <w:t xml:space="preserve">═════════════════════════════════════════════════════════════</w:t>
      </w:r>
      <w:r>
        <w:br/>
      </w:r>
      <w:r>
        <w:br/>
      </w:r>
      <w:r>
        <w:rPr>
          <w:rStyle w:val="VerbatimChar"/>
        </w:rPr>
        <w:t xml:space="preserve">Currency (NOT Applied to Crypto)</w:t>
      </w:r>
      <w:r>
        <w:br/>
      </w:r>
      <w:r>
        <w:rPr>
          <w:rStyle w:val="VerbatimChar"/>
        </w:rPr>
        <w:t xml:space="preserve">    ↓</w:t>
      </w:r>
      <w:r>
        <w:br/>
      </w:r>
      <w:r>
        <w:rPr>
          <w:rStyle w:val="VerbatimChar"/>
        </w:rPr>
        <w:t xml:space="preserve">    Legal tender issued by government</w:t>
      </w:r>
      <w:r>
        <w:br/>
      </w:r>
      <w:r>
        <w:rPr>
          <w:rStyle w:val="VerbatimChar"/>
        </w:rPr>
        <w:t xml:space="preserve">    Regulated by Bank Indonesia (BI)</w:t>
      </w:r>
      <w:r>
        <w:br/>
      </w:r>
      <w:r>
        <w:rPr>
          <w:rStyle w:val="VerbatimChar"/>
        </w:rPr>
        <w:t xml:space="preserve">    Subject to monetary policy</w:t>
      </w:r>
      <w:r>
        <w:br/>
      </w:r>
      <w:r>
        <w:rPr>
          <w:rStyle w:val="VerbatimChar"/>
        </w:rPr>
        <w:t xml:space="preserve">    </w:t>
      </w:r>
      <w:r>
        <w:br/>
      </w:r>
      <w:r>
        <w:rPr>
          <w:rStyle w:val="VerbatimChar"/>
        </w:rPr>
        <w:t xml:space="preserve">Financial Instrument (NOT Applied to Crypto)</w:t>
      </w:r>
      <w:r>
        <w:br/>
      </w:r>
      <w:r>
        <w:rPr>
          <w:rStyle w:val="VerbatimChar"/>
        </w:rPr>
        <w:t xml:space="preserve">    ↓</w:t>
      </w:r>
      <w:r>
        <w:br/>
      </w:r>
      <w:r>
        <w:rPr>
          <w:rStyle w:val="VerbatimChar"/>
        </w:rPr>
        <w:t xml:space="preserve">    Securities subject to securities law</w:t>
      </w:r>
      <w:r>
        <w:br/>
      </w:r>
      <w:r>
        <w:rPr>
          <w:rStyle w:val="VerbatimChar"/>
        </w:rPr>
        <w:t xml:space="preserve">    Subject to OJK securities regulation</w:t>
      </w:r>
      <w:r>
        <w:br/>
      </w:r>
      <w:r>
        <w:rPr>
          <w:rStyle w:val="VerbatimChar"/>
        </w:rPr>
        <w:t xml:space="preserve">    Investor protection under securities law</w:t>
      </w:r>
      <w:r>
        <w:br/>
      </w:r>
      <w:r>
        <w:rPr>
          <w:rStyle w:val="VerbatimChar"/>
        </w:rPr>
        <w:t xml:space="preserve">    </w:t>
      </w:r>
      <w:r>
        <w:br/>
      </w:r>
      <w:r>
        <w:rPr>
          <w:rStyle w:val="VerbatimChar"/>
        </w:rPr>
        <w:t xml:space="preserve">Commodity (APPLIED TO CRYPTO)</w:t>
      </w:r>
      <w:r>
        <w:br/>
      </w:r>
      <w:r>
        <w:rPr>
          <w:rStyle w:val="VerbatimChar"/>
        </w:rPr>
        <w:t xml:space="preserve">    ↓</w:t>
      </w:r>
      <w:r>
        <w:br/>
      </w:r>
      <w:r>
        <w:rPr>
          <w:rStyle w:val="VerbatimChar"/>
        </w:rPr>
        <w:t xml:space="preserve">    Digital financial assets</w:t>
      </w:r>
      <w:r>
        <w:br/>
      </w:r>
      <w:r>
        <w:rPr>
          <w:rStyle w:val="VerbatimChar"/>
        </w:rPr>
        <w:t xml:space="preserve">    Subject to commodity market regulation</w:t>
      </w:r>
      <w:r>
        <w:br/>
      </w:r>
      <w:r>
        <w:rPr>
          <w:rStyle w:val="VerbatimChar"/>
        </w:rPr>
        <w:t xml:space="preserve">    OJK regulatory oversight</w:t>
      </w:r>
      <w:r>
        <w:br/>
      </w:r>
      <w:r>
        <w:rPr>
          <w:rStyle w:val="VerbatimChar"/>
        </w:rPr>
        <w:t xml:space="preserve">    Trading restrictions and licensing</w:t>
      </w:r>
      <w:r>
        <w:br/>
      </w:r>
      <w:r>
        <w:rPr>
          <w:rStyle w:val="VerbatimChar"/>
        </w:rPr>
        <w:t xml:space="preserve">    </w:t>
      </w:r>
      <w:r>
        <w:br/>
      </w:r>
      <w:r>
        <w:rPr>
          <w:rStyle w:val="VerbatimChar"/>
        </w:rPr>
        <w:t xml:space="preserve">═════════════════════════════════════════════════════════════</w:t>
      </w:r>
    </w:p>
    <w:p>
      <w:pPr>
        <w:pStyle w:val="FirstParagraph"/>
      </w:pPr>
      <w:r>
        <w:rPr>
          <w:bCs/>
          <w:b/>
        </w:rPr>
        <w:t xml:space="preserve">Critical Implication:</w:t>
      </w:r>
      <w:r>
        <w:t xml:space="preserve"> </w:t>
      </w:r>
      <w:r>
        <w:t xml:space="preserve">By classifying cryptocurrency as</w:t>
      </w:r>
      <w:r>
        <w:t xml:space="preserve"> </w:t>
      </w:r>
      <w:r>
        <w:rPr>
          <w:bCs/>
          <w:b/>
        </w:rPr>
        <w:t xml:space="preserve">commodity</w:t>
      </w:r>
      <w:r>
        <w:t xml:space="preserve"> </w:t>
      </w:r>
      <w:r>
        <w:t xml:space="preserve">(not currency or financial instrument), Indonesia applies commodity market regulations rather than banking or securities regulations. This distinction has significant practical consequences.</w:t>
      </w:r>
    </w:p>
    <w:bookmarkEnd w:id="215"/>
    <w:bookmarkStart w:id="216" w:name="key-regulatory-provisions"/>
    <w:p>
      <w:pPr>
        <w:pStyle w:val="Heading3"/>
      </w:pPr>
      <w:r>
        <w:t xml:space="preserve">4.1.3 Key Regulatory Provisions</w:t>
      </w:r>
    </w:p>
    <w:p>
      <w:pPr>
        <w:pStyle w:val="FirstParagraph"/>
      </w:pPr>
      <w:r>
        <w:rPr>
          <w:bCs/>
          <w:b/>
        </w:rPr>
        <w:t xml:space="preserve">1. Trading Regulation</w:t>
      </w:r>
    </w:p>
    <w:p>
      <w:pPr>
        <w:pStyle w:val="BodyText"/>
      </w:pPr>
      <w:r>
        <w:rPr>
          <w:bCs/>
          <w:b/>
        </w:rPr>
        <w:t xml:space="preserve">Licensed Trading Platforms Required:</w:t>
      </w:r>
      <w:r>
        <w:t xml:space="preserve"> </w:t>
      </w:r>
      <w:r>
        <w:t xml:space="preserve">- Only licensed exchanges authorized to operate</w:t>
      </w:r>
      <w:r>
        <w:t xml:space="preserve"> </w:t>
      </w:r>
      <w:r>
        <w:t xml:space="preserve">- Strict licensing requirements and ongoing compliance</w:t>
      </w:r>
      <w:r>
        <w:t xml:space="preserve"> </w:t>
      </w:r>
      <w:r>
        <w:t xml:space="preserve">- Regular audits and capital requirements</w:t>
      </w:r>
      <w:r>
        <w:t xml:space="preserve"> </w:t>
      </w:r>
      <w:r>
        <w:t xml:space="preserve">- Consumer protection obligations</w:t>
      </w:r>
    </w:p>
    <w:p>
      <w:pPr>
        <w:pStyle w:val="BodyText"/>
      </w:pPr>
      <w:r>
        <w:rPr>
          <w:bCs/>
          <w:b/>
        </w:rPr>
        <w:t xml:space="preserve">Market Manipulation Prohibition:</w:t>
      </w:r>
      <w:r>
        <w:t xml:space="preserve"> </w:t>
      </w:r>
      <w:r>
        <w:t xml:space="preserve">- Explicit prohibition on price manipulation</w:t>
      </w:r>
      <w:r>
        <w:t xml:space="preserve"> </w:t>
      </w:r>
      <w:r>
        <w:t xml:space="preserve">- Regulation against wash trading and spoofing</w:t>
      </w:r>
      <w:r>
        <w:t xml:space="preserve"> </w:t>
      </w:r>
      <w:r>
        <w:t xml:space="preserve">- Position limit requirements</w:t>
      </w:r>
      <w:r>
        <w:t xml:space="preserve"> </w:t>
      </w:r>
      <w:r>
        <w:t xml:space="preserve">- Insider trading prohibitions</w:t>
      </w:r>
    </w:p>
    <w:p>
      <w:pPr>
        <w:pStyle w:val="BodyText"/>
      </w:pPr>
      <w:r>
        <w:rPr>
          <w:bCs/>
          <w:b/>
        </w:rPr>
        <w:t xml:space="preserve">Trading Restrictions:</w:t>
      </w:r>
      <w:r>
        <w:t xml:space="preserve"> </w:t>
      </w:r>
      <w:r>
        <w:t xml:space="preserve">- Leverage trading not permitted (no margin accounts)</w:t>
      </w:r>
      <w:r>
        <w:t xml:space="preserve"> </w:t>
      </w:r>
      <w:r>
        <w:t xml:space="preserve">- Derivatives trading prohibited</w:t>
      </w:r>
      <w:r>
        <w:t xml:space="preserve"> </w:t>
      </w:r>
      <w:r>
        <w:t xml:space="preserve">- Spot market trading only</w:t>
      </w:r>
      <w:r>
        <w:t xml:space="preserve"> </w:t>
      </w:r>
      <w:r>
        <w:t xml:space="preserve">- Physical settlement requirements</w:t>
      </w:r>
    </w:p>
    <w:p>
      <w:pPr>
        <w:pStyle w:val="BodyText"/>
      </w:pPr>
      <w:r>
        <w:rPr>
          <w:bCs/>
          <w:b/>
        </w:rPr>
        <w:t xml:space="preserve">2. Investor Protection Requirements</w:t>
      </w:r>
    </w:p>
    <w:p>
      <w:pPr>
        <w:pStyle w:val="BodyText"/>
      </w:pPr>
      <w:r>
        <w:rPr>
          <w:bCs/>
          <w:b/>
        </w:rPr>
        <w:t xml:space="preserve">Know-Your-Customer (KYC):</w:t>
      </w:r>
      <w:r>
        <w:t xml:space="preserve"> </w:t>
      </w:r>
      <w:r>
        <w:t xml:space="preserve">- Mandatory customer identification</w:t>
      </w:r>
      <w:r>
        <w:t xml:space="preserve"> </w:t>
      </w:r>
      <w:r>
        <w:t xml:space="preserve">- Source of funds verification</w:t>
      </w:r>
      <w:r>
        <w:t xml:space="preserve"> </w:t>
      </w:r>
      <w:r>
        <w:t xml:space="preserve">- Regular compliance updates</w:t>
      </w:r>
      <w:r>
        <w:t xml:space="preserve"> </w:t>
      </w:r>
      <w:r>
        <w:t xml:space="preserve">- Enhanced due diligence for high-value transactions</w:t>
      </w:r>
    </w:p>
    <w:p>
      <w:pPr>
        <w:pStyle w:val="BodyText"/>
      </w:pPr>
      <w:r>
        <w:rPr>
          <w:bCs/>
          <w:b/>
        </w:rPr>
        <w:t xml:space="preserve">Transaction Reporting:</w:t>
      </w:r>
      <w:r>
        <w:t xml:space="preserve"> </w:t>
      </w:r>
      <w:r>
        <w:t xml:space="preserve">- All transactions reported to authorities</w:t>
      </w:r>
      <w:r>
        <w:t xml:space="preserve"> </w:t>
      </w:r>
      <w:r>
        <w:t xml:space="preserve">- Large transaction reporting requirements</w:t>
      </w:r>
      <w:r>
        <w:t xml:space="preserve"> </w:t>
      </w:r>
      <w:r>
        <w:t xml:space="preserve">- Suspicious transaction reporting (AML/CFT)</w:t>
      </w:r>
      <w:r>
        <w:t xml:space="preserve"> </w:t>
      </w:r>
      <w:r>
        <w:t xml:space="preserve">- Price and volume monitoring</w:t>
      </w:r>
    </w:p>
    <w:p>
      <w:pPr>
        <w:pStyle w:val="BodyText"/>
      </w:pPr>
      <w:r>
        <w:rPr>
          <w:bCs/>
          <w:b/>
        </w:rPr>
        <w:t xml:space="preserve">Consumer Protection:</w:t>
      </w:r>
      <w:r>
        <w:t xml:space="preserve"> </w:t>
      </w:r>
      <w:r>
        <w:t xml:space="preserve">- Dispute resolution mechanisms</w:t>
      </w:r>
      <w:r>
        <w:t xml:space="preserve"> </w:t>
      </w:r>
      <w:r>
        <w:t xml:space="preserve">- Customer fund segregation</w:t>
      </w:r>
      <w:r>
        <w:t xml:space="preserve"> </w:t>
      </w:r>
      <w:r>
        <w:t xml:space="preserve">- Insurance protections in certain cases</w:t>
      </w:r>
      <w:r>
        <w:t xml:space="preserve"> </w:t>
      </w:r>
      <w:r>
        <w:t xml:space="preserve">- Clear disclosure requirements</w:t>
      </w:r>
    </w:p>
    <w:p>
      <w:pPr>
        <w:pStyle w:val="BodyText"/>
      </w:pPr>
      <w:r>
        <w:rPr>
          <w:bCs/>
          <w:b/>
        </w:rPr>
        <w:t xml:space="preserve">3. Business Conduct Standards</w:t>
      </w:r>
    </w:p>
    <w:p>
      <w:pPr>
        <w:pStyle w:val="BodyText"/>
      </w:pPr>
      <w:r>
        <w:rPr>
          <w:bCs/>
          <w:b/>
        </w:rPr>
        <w:t xml:space="preserve">Exchange Requirements:</w:t>
      </w:r>
      <w:r>
        <w:t xml:space="preserve"> </w:t>
      </w:r>
      <w:r>
        <w:t xml:space="preserve">- Operational standards and procedures</w:t>
      </w:r>
      <w:r>
        <w:t xml:space="preserve"> </w:t>
      </w:r>
      <w:r>
        <w:t xml:space="preserve">- Technology security standards</w:t>
      </w:r>
      <w:r>
        <w:t xml:space="preserve"> </w:t>
      </w:r>
      <w:r>
        <w:t xml:space="preserve">- Cybersecurity requirements</w:t>
      </w:r>
      <w:r>
        <w:t xml:space="preserve"> </w:t>
      </w:r>
      <w:r>
        <w:t xml:space="preserve">- Business continuity plans</w:t>
      </w:r>
      <w:r>
        <w:t xml:space="preserve"> </w:t>
      </w:r>
      <w:r>
        <w:t xml:space="preserve">- Regular reporting and audits</w:t>
      </w:r>
    </w:p>
    <w:p>
      <w:pPr>
        <w:pStyle w:val="BodyText"/>
      </w:pPr>
      <w:r>
        <w:rPr>
          <w:bCs/>
          <w:b/>
        </w:rPr>
        <w:t xml:space="preserve">Custody Requirements:</w:t>
      </w:r>
      <w:r>
        <w:t xml:space="preserve"> </w:t>
      </w:r>
      <w:r>
        <w:t xml:space="preserve">- Cryptocurrency custody standards</w:t>
      </w:r>
      <w:r>
        <w:t xml:space="preserve"> </w:t>
      </w:r>
      <w:r>
        <w:t xml:space="preserve">- Private key management protocols</w:t>
      </w:r>
      <w:r>
        <w:t xml:space="preserve"> </w:t>
      </w:r>
      <w:r>
        <w:t xml:space="preserve">- Insurance coverage requirements</w:t>
      </w:r>
      <w:r>
        <w:t xml:space="preserve"> </w:t>
      </w:r>
      <w:r>
        <w:t xml:space="preserve">- Independent verification of holdings</w:t>
      </w:r>
      <w:r>
        <w:t xml:space="preserve"> </w:t>
      </w:r>
      <w:r>
        <w:t xml:space="preserve">- Regular reconciliation procedures</w:t>
      </w:r>
    </w:p>
    <w:bookmarkEnd w:id="216"/>
    <w:bookmarkStart w:id="217" w:name="ojks-jurisprudential-coordination"/>
    <w:p>
      <w:pPr>
        <w:pStyle w:val="Heading3"/>
      </w:pPr>
      <w:r>
        <w:t xml:space="preserve">4.1.4 OJK’s Jurisprudential Coordination</w:t>
      </w:r>
    </w:p>
    <w:p>
      <w:pPr>
        <w:pStyle w:val="FirstParagraph"/>
      </w:pPr>
      <w:r>
        <w:rPr>
          <w:bCs/>
          <w:b/>
        </w:rPr>
        <w:t xml:space="preserve">Coordination with Sharia Council:</w:t>
      </w:r>
    </w:p>
    <w:p>
      <w:pPr>
        <w:pStyle w:val="BodyText"/>
      </w:pPr>
      <w:r>
        <w:t xml:space="preserve">Recognizing Indonesia’s Islamic finance prominence, OJK coordinates with:</w:t>
      </w:r>
      <w:r>
        <w:t xml:space="preserve"> </w:t>
      </w:r>
      <w:r>
        <w:t xml:space="preserve">-</w:t>
      </w:r>
      <w:r>
        <w:t xml:space="preserve"> </w:t>
      </w:r>
      <w:r>
        <w:rPr>
          <w:bCs/>
          <w:b/>
        </w:rPr>
        <w:t xml:space="preserve">DSN-MUI</w:t>
      </w:r>
      <w:r>
        <w:t xml:space="preserve"> </w:t>
      </w:r>
      <w:r>
        <w:t xml:space="preserve">(Sharia Board of Indonesian Islamic Scholars Council)</w:t>
      </w:r>
      <w:r>
        <w:t xml:space="preserve"> </w:t>
      </w:r>
      <w:r>
        <w:t xml:space="preserve">- Islamic banking supervisory framework</w:t>
      </w:r>
      <w:r>
        <w:t xml:space="preserve"> </w:t>
      </w:r>
      <w:r>
        <w:t xml:space="preserve">- Sharia compliance assessment protocols</w:t>
      </w:r>
    </w:p>
    <w:p>
      <w:pPr>
        <w:pStyle w:val="BodyText"/>
      </w:pPr>
      <w:r>
        <w:rPr>
          <w:bCs/>
          <w:b/>
        </w:rPr>
        <w:t xml:space="preserve">Joint OJK-DSN-MUI Coordination (September 2025–Present):</w:t>
      </w:r>
    </w:p>
    <w:p>
      <w:pPr>
        <w:pStyle w:val="BodyText"/>
      </w:pPr>
      <w:r>
        <w:t xml:space="preserve">As of September 2025, OJK and DSN-MUI established a Joint Working Group to develop unified Shariah screening framework for cryptocurrency (Chapter 3.4.2). This development represents significant shift from previous separation:</w:t>
      </w:r>
      <w:r>
        <w:t xml:space="preserve"> </w:t>
      </w:r>
      <w:r>
        <w:t xml:space="preserve">- Previous approach (pre-2025): Separate regulatory and Islamic finance treatment</w:t>
      </w:r>
      <w:r>
        <w:t xml:space="preserve"> </w:t>
      </w:r>
      <w:r>
        <w:t xml:space="preserve">- Current approach (2025–2026): Coordinated development of Shariah screening standards</w:t>
      </w:r>
      <w:r>
        <w:t xml:space="preserve"> </w:t>
      </w:r>
      <w:r>
        <w:t xml:space="preserve">- Expected outcome (Q2-Q3 2026): Unified framework for assessing cryptocurrency Shariah compliance</w:t>
      </w:r>
      <w:r>
        <w:t xml:space="preserve"> </w:t>
      </w:r>
      <w:r>
        <w:t xml:space="preserve">- Implication: Potential for conditional Islamic finance institution participation in regulated cryptocurrency activities</w:t>
      </w:r>
    </w:p>
    <w:p>
      <w:pPr>
        <w:pStyle w:val="BodyText"/>
      </w:pPr>
      <w:r>
        <w:rPr>
          <w:bCs/>
          <w:b/>
        </w:rPr>
        <w:t xml:space="preserve">Historical Fatwa Context:</w:t>
      </w:r>
      <w:r>
        <w:t xml:space="preserve"> </w:t>
      </w:r>
      <w:r>
        <w:t xml:space="preserve">OJK’s regulatory framework acknowledged MUI’s 2021 Fatwa No. 4/DSN-MUI/IX/2021:</w:t>
      </w:r>
      <w:r>
        <w:t xml:space="preserve"> </w:t>
      </w:r>
      <w:r>
        <w:t xml:space="preserve">- Previously treated cryptocurrency as high-risk speculative commodity</w:t>
      </w:r>
      <w:r>
        <w:t xml:space="preserve"> </w:t>
      </w:r>
      <w:r>
        <w:t xml:space="preserve">- Maintained distance from sharia-compliant Islamic finance framework</w:t>
      </w:r>
      <w:r>
        <w:t xml:space="preserve"> </w:t>
      </w:r>
      <w:r>
        <w:t xml:space="preserve">- Separate regulatory treatment from Islamic banking products</w:t>
      </w:r>
      <w:r>
        <w:t xml:space="preserve"> </w:t>
      </w:r>
      <w:r>
        <w:t xml:space="preserve">- Did not promote cryptocurrency within Islamic finance</w:t>
      </w:r>
    </w:p>
    <w:p>
      <w:pPr>
        <w:pStyle w:val="BodyText"/>
      </w:pPr>
      <w:r>
        <w:rPr>
          <w:bCs/>
          <w:b/>
        </w:rPr>
        <w:t xml:space="preserve">Evolution (2025–2026):</w:t>
      </w:r>
      <w:r>
        <w:t xml:space="preserve"> </w:t>
      </w:r>
      <w:r>
        <w:t xml:space="preserve">The OJK-DSN-MUI Joint Working Group coordination reflects movement toward Position C (Cryptocurrency as Evolving Asset—Conditional Permissibility) for certain properly-structured digital assets, particularly:</w:t>
      </w:r>
      <w:r>
        <w:t xml:space="preserve"> </w:t>
      </w:r>
      <w:r>
        <w:t xml:space="preserve">- Asset-backed cryptocurrencies</w:t>
      </w:r>
      <w:r>
        <w:t xml:space="preserve"> </w:t>
      </w:r>
      <w:r>
        <w:t xml:space="preserve">- Islamic stablecoins</w:t>
      </w:r>
      <w:r>
        <w:t xml:space="preserve"> </w:t>
      </w:r>
      <w:r>
        <w:t xml:space="preserve">- Regulated institutional participation</w:t>
      </w:r>
    </w:p>
    <w:p>
      <w:pPr>
        <w:pStyle w:val="BodyText"/>
      </w:pPr>
      <w:r>
        <w:rPr>
          <w:bCs/>
          <w:b/>
        </w:rPr>
        <w:t xml:space="preserve">Current Practical Effect:</w:t>
      </w:r>
      <w:r>
        <w:t xml:space="preserve"> </w:t>
      </w:r>
      <w:r>
        <w:t xml:space="preserve">- Islamic banks still NOT promoting unregulated cryptocurrency products</w:t>
      </w:r>
      <w:r>
        <w:t xml:space="preserve"> </w:t>
      </w:r>
      <w:r>
        <w:t xml:space="preserve">- Regulated, Shariah-compliant cryptocurrency trading emerging as possibility</w:t>
      </w:r>
      <w:r>
        <w:t xml:space="preserve"> </w:t>
      </w:r>
      <w:r>
        <w:t xml:space="preserve">- Development of Islamic stablecoin frameworks underway</w:t>
      </w:r>
      <w:r>
        <w:t xml:space="preserve"> </w:t>
      </w:r>
      <w:r>
        <w:t xml:space="preserve">- Clear pathway emerging for conditional Islamic finance institution participation</w:t>
      </w:r>
      <w:r>
        <w:t xml:space="preserve"> </w:t>
      </w:r>
      <w:r>
        <w:t xml:space="preserve">- Regulatory harmonization between OJK and DSN-MUI expected Q2-Q3 2026</w:t>
      </w:r>
    </w:p>
    <w:bookmarkEnd w:id="217"/>
    <w:bookmarkStart w:id="218" w:name="assessment-strengths-and-weaknesses"/>
    <w:p>
      <w:pPr>
        <w:pStyle w:val="Heading3"/>
      </w:pPr>
      <w:r>
        <w:t xml:space="preserve">4.1.5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Clear Classification</w:t>
      </w:r>
      <w:r>
        <w:t xml:space="preserve"> </w:t>
      </w:r>
      <w:r>
        <w:t xml:space="preserve">- Unambiguous cryptocurrency classification as commodity</w:t>
      </w:r>
      <w:r>
        <w:t xml:space="preserve"> </w:t>
      </w:r>
      <w:r>
        <w:t xml:space="preserve">- Reduces regulatory uncertainty</w:t>
      </w:r>
      <w:r>
        <w:t xml:space="preserve"> </w:t>
      </w:r>
      <w:r>
        <w:t xml:space="preserve">- Simplifies compliance for market participants</w:t>
      </w:r>
      <w:r>
        <w:t xml:space="preserve"> </w:t>
      </w:r>
      <w:r>
        <w:t xml:space="preserve">- Expanded scope in POJK No. 23/2025 (Dec 2025) to include crypto derivatives</w:t>
      </w:r>
    </w:p>
    <w:p>
      <w:pPr>
        <w:pStyle w:val="BodyText"/>
      </w:pPr>
      <w:r>
        <w:t xml:space="preserve">✅</w:t>
      </w:r>
      <w:r>
        <w:t xml:space="preserve"> </w:t>
      </w:r>
      <w:r>
        <w:rPr>
          <w:bCs/>
          <w:b/>
        </w:rPr>
        <w:t xml:space="preserve">Consumer Protection Focus</w:t>
      </w:r>
      <w:r>
        <w:t xml:space="preserve"> </w:t>
      </w:r>
      <w:r>
        <w:t xml:space="preserve">- Strict KYC/AML requirements</w:t>
      </w:r>
      <w:r>
        <w:t xml:space="preserve"> </w:t>
      </w:r>
      <w:r>
        <w:t xml:space="preserve">- Transaction monitoring and reporting</w:t>
      </w:r>
      <w:r>
        <w:t xml:space="preserve"> </w:t>
      </w:r>
      <w:r>
        <w:t xml:space="preserve">- Dispute resolution mechanisms</w:t>
      </w:r>
      <w:r>
        <w:t xml:space="preserve"> </w:t>
      </w:r>
      <w:r>
        <w:t xml:space="preserve">- Fund segregation and insurance protections</w:t>
      </w:r>
    </w:p>
    <w:p>
      <w:pPr>
        <w:pStyle w:val="BodyText"/>
      </w:pPr>
      <w:r>
        <w:t xml:space="preserve">✅</w:t>
      </w:r>
      <w:r>
        <w:t xml:space="preserve"> </w:t>
      </w:r>
      <w:r>
        <w:rPr>
          <w:bCs/>
          <w:b/>
        </w:rPr>
        <w:t xml:space="preserve">Market Integrity Standards</w:t>
      </w:r>
      <w:r>
        <w:t xml:space="preserve"> </w:t>
      </w:r>
      <w:r>
        <w:t xml:space="preserve">- Manipulation prevention measures</w:t>
      </w:r>
      <w:r>
        <w:t xml:space="preserve"> </w:t>
      </w:r>
      <w:r>
        <w:t xml:space="preserve">- Leverage trading prohibition reduces retail investor harm</w:t>
      </w:r>
      <w:r>
        <w:t xml:space="preserve"> </w:t>
      </w:r>
      <w:r>
        <w:t xml:space="preserve">- Position limits and reporting requirements</w:t>
      </w:r>
      <w:r>
        <w:t xml:space="preserve"> </w:t>
      </w:r>
      <w:r>
        <w:t xml:space="preserve">- Technology and cybersecurity standards</w:t>
      </w:r>
    </w:p>
    <w:p>
      <w:pPr>
        <w:pStyle w:val="BodyText"/>
      </w:pPr>
      <w:r>
        <w:t xml:space="preserve">✅</w:t>
      </w:r>
      <w:r>
        <w:t xml:space="preserve"> </w:t>
      </w:r>
      <w:r>
        <w:rPr>
          <w:bCs/>
          <w:b/>
        </w:rPr>
        <w:t xml:space="preserve">Islamic Finance Coordination (Emerging)</w:t>
      </w:r>
      <w:r>
        <w:t xml:space="preserve"> </w:t>
      </w:r>
      <w:r>
        <w:t xml:space="preserve">- Recognition of MUI fatwa position (historical alignment)</w:t>
      </w:r>
      <w:r>
        <w:t xml:space="preserve"> </w:t>
      </w:r>
      <w:r>
        <w:t xml:space="preserve">- Evolving coordination with DSN-MUI through Joint Working Group (Sept 2025)</w:t>
      </w:r>
      <w:r>
        <w:t xml:space="preserve"> </w:t>
      </w:r>
      <w:r>
        <w:t xml:space="preserve">- Separate regulatory treatment enabling pathway for conditional Islamic participation</w:t>
      </w:r>
      <w:r>
        <w:t xml:space="preserve"> </w:t>
      </w:r>
      <w:r>
        <w:t xml:space="preserve">- Maintains core Islamic banking framework while enabling innovation</w:t>
      </w:r>
    </w:p>
    <w:p>
      <w:pPr>
        <w:pStyle w:val="BodyText"/>
      </w:pPr>
      <w:r>
        <w:rPr>
          <w:bCs/>
          <w:b/>
        </w:rPr>
        <w:t xml:space="preserve">Regulatory Weaknesses:</w:t>
      </w:r>
    </w:p>
    <w:p>
      <w:pPr>
        <w:pStyle w:val="BodyText"/>
      </w:pPr>
      <w:r>
        <w:t xml:space="preserve">❌</w:t>
      </w:r>
      <w:r>
        <w:t xml:space="preserve"> </w:t>
      </w:r>
      <w:r>
        <w:rPr>
          <w:bCs/>
          <w:b/>
        </w:rPr>
        <w:t xml:space="preserve">Innovation Limitations</w:t>
      </w:r>
      <w:r>
        <w:t xml:space="preserve"> </w:t>
      </w:r>
      <w:r>
        <w:t xml:space="preserve">- Leverage prohibition prevents sophisticated strategies</w:t>
      </w:r>
      <w:r>
        <w:t xml:space="preserve"> </w:t>
      </w:r>
      <w:r>
        <w:t xml:space="preserve">- Derivatives prohibition limits financial innovation</w:t>
      </w:r>
      <w:r>
        <w:t xml:space="preserve"> </w:t>
      </w:r>
      <w:r>
        <w:t xml:space="preserve">- Restrictive approach may drive activity to offshore platforms</w:t>
      </w:r>
      <w:r>
        <w:t xml:space="preserve"> </w:t>
      </w:r>
      <w:r>
        <w:t xml:space="preserve">- May disadvantage legitimate institutional participation</w:t>
      </w:r>
    </w:p>
    <w:p>
      <w:pPr>
        <w:pStyle w:val="BodyText"/>
      </w:pPr>
      <w:r>
        <w:t xml:space="preserve">❌</w:t>
      </w:r>
      <w:r>
        <w:t xml:space="preserve"> </w:t>
      </w:r>
      <w:r>
        <w:rPr>
          <w:bCs/>
          <w:b/>
        </w:rPr>
        <w:t xml:space="preserve">Regulatory Arbitrage</w:t>
      </w:r>
      <w:r>
        <w:t xml:space="preserve"> </w:t>
      </w:r>
      <w:r>
        <w:t xml:space="preserve">- Restrictive approach may encourage offshore trading</w:t>
      </w:r>
      <w:r>
        <w:t xml:space="preserve"> </w:t>
      </w:r>
      <w:r>
        <w:t xml:space="preserve">- Unregulated offshore platforms accessible to Indonesian investors</w:t>
      </w:r>
      <w:r>
        <w:t xml:space="preserve"> </w:t>
      </w:r>
      <w:r>
        <w:t xml:space="preserve">- Regulation effectiveness limited by global nature of cryptocurrency</w:t>
      </w:r>
    </w:p>
    <w:p>
      <w:pPr>
        <w:pStyle w:val="BodyText"/>
      </w:pPr>
      <w:r>
        <w:t xml:space="preserve">❌</w:t>
      </w:r>
      <w:r>
        <w:t xml:space="preserve"> </w:t>
      </w:r>
      <w:r>
        <w:rPr>
          <w:bCs/>
          <w:b/>
        </w:rPr>
        <w:t xml:space="preserve">Commodity Classification Limitations</w:t>
      </w:r>
      <w:r>
        <w:t xml:space="preserve"> </w:t>
      </w:r>
      <w:r>
        <w:t xml:space="preserve">- Commodity classification may not reflect cryptocurrency’s actual economic characteristics</w:t>
      </w:r>
      <w:r>
        <w:t xml:space="preserve"> </w:t>
      </w:r>
      <w:r>
        <w:t xml:space="preserve">- Potential mismatch between regulatory framework and asset characteristics</w:t>
      </w:r>
      <w:r>
        <w:t xml:space="preserve"> </w:t>
      </w:r>
      <w:r>
        <w:t xml:space="preserve">- Limited flexibility for asset-backed or utility-based cryptocurrencies</w:t>
      </w:r>
    </w:p>
    <w:p>
      <w:pPr>
        <w:pStyle w:val="BodyText"/>
      </w:pPr>
      <w:r>
        <w:t xml:space="preserve">❌</w:t>
      </w:r>
      <w:r>
        <w:t xml:space="preserve"> </w:t>
      </w:r>
      <w:r>
        <w:rPr>
          <w:bCs/>
          <w:b/>
        </w:rPr>
        <w:t xml:space="preserve">Innovation Suppression</w:t>
      </w:r>
      <w:r>
        <w:t xml:space="preserve"> </w:t>
      </w:r>
      <w:r>
        <w:t xml:space="preserve">- Blockchain innovation in Islamic finance potentially constrained</w:t>
      </w:r>
      <w:r>
        <w:t xml:space="preserve"> </w:t>
      </w:r>
      <w:r>
        <w:t xml:space="preserve">- Islamic fintech development limited by regulatory boundaries</w:t>
      </w:r>
      <w:r>
        <w:t xml:space="preserve"> </w:t>
      </w:r>
      <w:r>
        <w:t xml:space="preserve">- May cede innovation leadership to permissive jurisdictions</w:t>
      </w:r>
    </w:p>
    <w:bookmarkEnd w:id="218"/>
    <w:bookmarkStart w:id="219" w:name="compliance-burden-and-market-impact"/>
    <w:p>
      <w:pPr>
        <w:pStyle w:val="Heading3"/>
      </w:pPr>
      <w:r>
        <w:t xml:space="preserve">4.1.6 Compliance Burden and Market Impact</w:t>
      </w:r>
    </w:p>
    <w:p>
      <w:pPr>
        <w:pStyle w:val="FirstParagraph"/>
      </w:pPr>
      <w:r>
        <w:rPr>
          <w:bCs/>
          <w:b/>
        </w:rPr>
        <w:t xml:space="preserve">Market Effects:</w:t>
      </w:r>
    </w:p>
    <w:p>
      <w:pPr>
        <w:pStyle w:val="BodyText"/>
      </w:pPr>
      <w:r>
        <w:t xml:space="preserve">The OJK regulatory framework has resulted in:</w:t>
      </w:r>
      <w:r>
        <w:t xml:space="preserve"> </w:t>
      </w:r>
      <w:r>
        <w:t xml:space="preserve">- Limited cryptocurrency exchange development in Indonesia</w:t>
      </w:r>
      <w:r>
        <w:t xml:space="preserve"> </w:t>
      </w:r>
      <w:r>
        <w:t xml:space="preserve">- Dominance of informal/offshore trading channels</w:t>
      </w:r>
      <w:r>
        <w:t xml:space="preserve"> </w:t>
      </w:r>
      <w:r>
        <w:t xml:space="preserve">- Brain drain of fintech talent to more permissive jurisdictions</w:t>
      </w:r>
      <w:r>
        <w:t xml:space="preserve"> </w:t>
      </w:r>
      <w:r>
        <w:t xml:space="preserve">- Limited institutional cryptocurrency participation</w:t>
      </w:r>
      <w:r>
        <w:t xml:space="preserve"> </w:t>
      </w:r>
      <w:r>
        <w:t xml:space="preserve">- Slow adoption of blockchain technology in financial services</w:t>
      </w:r>
    </w:p>
    <w:p>
      <w:pPr>
        <w:pStyle w:val="BodyText"/>
      </w:pPr>
      <w:r>
        <w:rPr>
          <w:bCs/>
          <w:b/>
        </w:rPr>
        <w:t xml:space="preserve">Compliance Costs:</w:t>
      </w:r>
    </w:p>
    <w:p>
      <w:pPr>
        <w:pStyle w:val="BodyText"/>
      </w:pPr>
      <w:r>
        <w:t xml:space="preserve">OJK regulations impose substantial compliance costs:</w:t>
      </w:r>
      <w:r>
        <w:t xml:space="preserve"> </w:t>
      </w:r>
      <w:r>
        <w:t xml:space="preserve">- Licensing and application fees</w:t>
      </w:r>
      <w:r>
        <w:t xml:space="preserve"> </w:t>
      </w:r>
      <w:r>
        <w:t xml:space="preserve">- Technology infrastructure investments (security, cybersecurity)</w:t>
      </w:r>
      <w:r>
        <w:t xml:space="preserve"> </w:t>
      </w:r>
      <w:r>
        <w:t xml:space="preserve">- Compliance personnel and operational costs</w:t>
      </w:r>
      <w:r>
        <w:t xml:space="preserve"> </w:t>
      </w:r>
      <w:r>
        <w:t xml:space="preserve">- Regular audit and reporting expenses</w:t>
      </w:r>
      <w:r>
        <w:t xml:space="preserve"> </w:t>
      </w:r>
      <w:r>
        <w:t xml:space="preserve">- Insurance and custody service costs</w:t>
      </w:r>
    </w:p>
    <w:p>
      <w:pPr>
        <w:pStyle w:val="BodyText"/>
      </w:pPr>
      <w:r>
        <w:t xml:space="preserve">These costs create barriers to market entry and limit competition.</w:t>
      </w:r>
    </w:p>
    <w:p>
      <w:r>
        <w:pict>
          <v:rect style="width:0;height:1.5pt" o:hralign="center" o:hrstd="t" o:hr="t"/>
        </w:pict>
      </w:r>
    </w:p>
    <w:bookmarkEnd w:id="219"/>
    <w:bookmarkStart w:id="220" w:name="X58518b6887bfcdb2e75b247ed8cfcc201d4518f"/>
    <w:p>
      <w:pPr>
        <w:pStyle w:val="Heading3"/>
      </w:pPr>
      <w:r>
        <w:t xml:space="preserve">4.1.7 OJK Institutional Ecosystem: IAKD and Regulatory Sandbox Implementation</w:t>
      </w:r>
    </w:p>
    <w:p>
      <w:pPr>
        <w:pStyle w:val="FirstParagraph"/>
      </w:pPr>
      <w:r>
        <w:rPr>
          <w:bCs/>
          <w:b/>
        </w:rPr>
        <w:t xml:space="preserve">Industrial Development Structure (Asosiasi di Industri IAKD)</w:t>
      </w:r>
    </w:p>
    <w:p>
      <w:pPr>
        <w:pStyle w:val="BodyText"/>
      </w:pPr>
      <w:r>
        <w:t xml:space="preserve">Beyond formal regulation, OJK has fostered an institutional ecosystem for IAKD (Innovation in Financial Sector Technology, Digital Assets, and Cryptocurrency) development through three coordinated industry associations (as of August 2025):</w:t>
      </w:r>
    </w:p>
    <w:p>
      <w:pPr>
        <w:pStyle w:val="BodyText"/>
      </w:pPr>
      <w:r>
        <w:rPr>
          <w:bCs/>
          <w:b/>
        </w:rPr>
        <w:t xml:space="preserve">1. AFTECH (Asosiasi Fintech Indonesia)</w:t>
      </w:r>
      <w:r>
        <w:t xml:space="preserve"> </w:t>
      </w:r>
      <w:r>
        <w:t xml:space="preserve">- Membership: 350+ companies</w:t>
      </w:r>
      <w:r>
        <w:t xml:space="preserve"> </w:t>
      </w:r>
      <w:r>
        <w:t xml:space="preserve">- Focus: Financial technology innovation broadly</w:t>
      </w:r>
      <w:r>
        <w:t xml:space="preserve"> </w:t>
      </w:r>
      <w:r>
        <w:t xml:space="preserve">- IAKD portfolio composition:</w:t>
      </w:r>
      <w:r>
        <w:t xml:space="preserve"> </w:t>
      </w:r>
      <w:r>
        <w:t xml:space="preserve">- 19 ITSK (Fintech Operator Services) members</w:t>
      </w:r>
      <w:r>
        <w:t xml:space="preserve"> </w:t>
      </w:r>
      <w:r>
        <w:t xml:space="preserve">- 11 Digital/Crypto asset companies</w:t>
      </w:r>
      <w:r>
        <w:t xml:space="preserve"> </w:t>
      </w:r>
      <w:r>
        <w:t xml:space="preserve">- 5 Innovative Credit Scoring operators</w:t>
      </w:r>
      <w:r>
        <w:t xml:space="preserve"> </w:t>
      </w:r>
      <w:r>
        <w:t xml:space="preserve">- 10 Financial aggregator platforms</w:t>
      </w:r>
      <w:r>
        <w:t xml:space="preserve"> </w:t>
      </w:r>
      <w:r>
        <w:t xml:space="preserve">- Role: Represents mainstream fintech interests in IAKD ecosystem coordination</w:t>
      </w:r>
    </w:p>
    <w:p>
      <w:pPr>
        <w:pStyle w:val="BodyText"/>
      </w:pPr>
      <w:r>
        <w:rPr>
          <w:bCs/>
          <w:b/>
        </w:rPr>
        <w:t xml:space="preserve">2. AFSI (Asosiasi Fintech Syariah Indonesia)</w:t>
      </w:r>
      <w:r>
        <w:t xml:space="preserve"> </w:t>
      </w:r>
      <w:r>
        <w:t xml:space="preserve">- Membership: 85+ companies</w:t>
      </w:r>
      <w:r>
        <w:t xml:space="preserve"> </w:t>
      </w:r>
      <w:r>
        <w:t xml:space="preserve">- Focus: Islamic fintech and Shariah-compliant innovation</w:t>
      </w:r>
      <w:r>
        <w:t xml:space="preserve"> </w:t>
      </w:r>
      <w:r>
        <w:t xml:space="preserve">- IAKD portfolio composition:</w:t>
      </w:r>
      <w:r>
        <w:t xml:space="preserve"> </w:t>
      </w:r>
      <w:r>
        <w:t xml:space="preserve">- 6 ITSK members</w:t>
      </w:r>
      <w:r>
        <w:t xml:space="preserve"> </w:t>
      </w:r>
      <w:r>
        <w:t xml:space="preserve">- 1 ITSK in pending registration</w:t>
      </w:r>
      <w:r>
        <w:t xml:space="preserve"> </w:t>
      </w:r>
      <w:r>
        <w:t xml:space="preserve">- 1 regulated company operating in regulatory sandbox</w:t>
      </w:r>
      <w:r>
        <w:t xml:space="preserve"> </w:t>
      </w:r>
      <w:r>
        <w:t xml:space="preserve">- 1 PAKD (Sandbox participant — digital asset custodian)</w:t>
      </w:r>
      <w:r>
        <w:t xml:space="preserve"> </w:t>
      </w:r>
      <w:r>
        <w:t xml:space="preserve">- Role: Bridges Islamic banking/finance sector with IAKD innovation development</w:t>
      </w:r>
      <w:r>
        <w:t xml:space="preserve"> </w:t>
      </w:r>
      <w:r>
        <w:t xml:space="preserve">- Strategic importance: Ensures Shariah compliance in regulatory sandbox models</w:t>
      </w:r>
    </w:p>
    <w:p>
      <w:pPr>
        <w:pStyle w:val="BodyText"/>
      </w:pPr>
      <w:r>
        <w:rPr>
          <w:bCs/>
          <w:b/>
        </w:rPr>
        <w:t xml:space="preserve">3. ABI (Asosiasi Blockchain Indonesia)</w:t>
      </w:r>
      <w:r>
        <w:t xml:space="preserve"> </w:t>
      </w:r>
      <w:r>
        <w:t xml:space="preserve">- Membership: 62+ companies</w:t>
      </w:r>
      <w:r>
        <w:t xml:space="preserve"> </w:t>
      </w:r>
      <w:r>
        <w:t xml:space="preserve">- Focus: Blockchain technology and distributed ledger applications</w:t>
      </w:r>
      <w:r>
        <w:t xml:space="preserve"> </w:t>
      </w:r>
      <w:r>
        <w:t xml:space="preserve">- IAKD portfolio composition:</w:t>
      </w:r>
      <w:r>
        <w:t xml:space="preserve"> </w:t>
      </w:r>
      <w:r>
        <w:t xml:space="preserve">- 20 PAKD (Digital Asset Custody Service Providers)</w:t>
      </w:r>
      <w:r>
        <w:t xml:space="preserve"> </w:t>
      </w:r>
      <w:r>
        <w:t xml:space="preserve">- 9 Candidate PAKD in approval pipeline</w:t>
      </w:r>
      <w:r>
        <w:t xml:space="preserve"> </w:t>
      </w:r>
      <w:r>
        <w:t xml:space="preserve">- 2 Commercial banks with blockchain projects</w:t>
      </w:r>
      <w:r>
        <w:t xml:space="preserve"> </w:t>
      </w:r>
      <w:r>
        <w:t xml:space="preserve">- Blockchain project participants</w:t>
      </w:r>
      <w:r>
        <w:t xml:space="preserve"> </w:t>
      </w:r>
      <w:r>
        <w:t xml:space="preserve">- Role: Coordinates blockchain/DLT innovation with OJK regulatory framework</w:t>
      </w:r>
    </w:p>
    <w:p>
      <w:pPr>
        <w:pStyle w:val="BodyText"/>
      </w:pPr>
      <w:r>
        <w:rPr>
          <w:bCs/>
          <w:b/>
        </w:rPr>
        <w:t xml:space="preserve">Institutional Development with Shariah Legal Framework (LJK Syariah)</w:t>
      </w:r>
    </w:p>
    <w:p>
      <w:pPr>
        <w:pStyle w:val="BodyText"/>
      </w:pPr>
      <w:r>
        <w:t xml:space="preserve">OJK coordinates IAKD development with formal Shariah oversight through partnerships including:</w:t>
      </w:r>
      <w:r>
        <w:t xml:space="preserve"> </w:t>
      </w:r>
      <w:r>
        <w:t xml:space="preserve">- Bank Indonesia Shariah Directorate (BPRS)</w:t>
      </w:r>
      <w:r>
        <w:t xml:space="preserve"> </w:t>
      </w:r>
      <w:r>
        <w:t xml:space="preserve">- Islamic Cooperative Banks (Koperasi Syariah)</w:t>
      </w:r>
      <w:r>
        <w:t xml:space="preserve"> </w:t>
      </w:r>
      <w:r>
        <w:t xml:space="preserve">- ZISWAF institutions (Zakat/Infaq/Sadaqah/Waqf)</w:t>
      </w:r>
      <w:r>
        <w:t xml:space="preserve"> </w:t>
      </w:r>
      <w:r>
        <w:t xml:space="preserve">- Shariah Fintech Service Providers</w:t>
      </w:r>
    </w:p>
    <w:p>
      <w:pPr>
        <w:pStyle w:val="BodyText"/>
      </w:pPr>
      <w:r>
        <w:rPr>
          <w:bCs/>
          <w:b/>
        </w:rPr>
        <w:t xml:space="preserve">Strategic Collaborative Opportunities:</w:t>
      </w:r>
      <w:r>
        <w:t xml:space="preserve"> </w:t>
      </w:r>
      <w:r>
        <w:t xml:space="preserve">- Expanded financing access to unbanked/underbanked segments through Islamic fintech</w:t>
      </w:r>
      <w:r>
        <w:t xml:space="preserve"> </w:t>
      </w:r>
      <w:r>
        <w:t xml:space="preserve">- Credit risk mitigation using digital customer profiling</w:t>
      </w:r>
      <w:r>
        <w:t xml:space="preserve"> </w:t>
      </w:r>
      <w:r>
        <w:t xml:space="preserve">- Shariah-compliant product development based on profile analysis</w:t>
      </w:r>
      <w:r>
        <w:t xml:space="preserve"> </w:t>
      </w:r>
      <w:r>
        <w:t xml:space="preserve">- Enhanced KYC/CDD efficiency through digital integration</w:t>
      </w:r>
      <w:r>
        <w:t xml:space="preserve"> </w:t>
      </w:r>
      <w:r>
        <w:t xml:space="preserve">- Ecosystem interoperability and cross-platform integration</w:t>
      </w:r>
    </w:p>
    <w:p>
      <w:r>
        <w:pict>
          <v:rect style="width:0;height:1.5pt" o:hralign="center" o:hrstd="t" o:hr="t"/>
        </w:pict>
      </w:r>
    </w:p>
    <w:bookmarkEnd w:id="220"/>
    <w:bookmarkStart w:id="221" w:name="X2108c280cd641bfca7efa5ad3150e1e64db9b0b"/>
    <w:p>
      <w:pPr>
        <w:pStyle w:val="Heading3"/>
      </w:pPr>
      <w:r>
        <w:t xml:space="preserve">4.1.8 OJK Regulatory Sandbox: Seven Models of Compliant Innovation Pathway</w:t>
      </w:r>
    </w:p>
    <w:p>
      <w:pPr>
        <w:pStyle w:val="FirstParagraph"/>
      </w:pPr>
      <w:r>
        <w:rPr>
          <w:bCs/>
          <w:b/>
        </w:rPr>
        <w:t xml:space="preserve">Sandbox Framework and Purpose:</w:t>
      </w:r>
    </w:p>
    <w:p>
      <w:pPr>
        <w:pStyle w:val="BodyText"/>
      </w:pPr>
      <w:r>
        <w:t xml:space="preserve">OJK established its regulatory sandbox in 2018 as a controlled testing environment for innovative financial services and technologies, including cryptocurrency assets. The sandbox serves two critical functions:</w:t>
      </w:r>
    </w:p>
    <w:p>
      <w:pPr>
        <w:numPr>
          <w:ilvl w:val="0"/>
          <w:numId w:val="1107"/>
        </w:numPr>
        <w:pStyle w:val="Compact"/>
      </w:pPr>
      <w:r>
        <w:rPr>
          <w:bCs/>
          <w:b/>
        </w:rPr>
        <w:t xml:space="preserve">Innovation Laboratory:</w:t>
      </w:r>
      <w:r>
        <w:t xml:space="preserve"> </w:t>
      </w:r>
      <w:r>
        <w:t xml:space="preserve">Permits testing of novel business models, tokenization approaches, and financial technologies under regulatory oversight</w:t>
      </w:r>
    </w:p>
    <w:p>
      <w:pPr>
        <w:numPr>
          <w:ilvl w:val="0"/>
          <w:numId w:val="1107"/>
        </w:numPr>
        <w:pStyle w:val="Compact"/>
      </w:pPr>
      <w:r>
        <w:rPr>
          <w:bCs/>
          <w:b/>
        </w:rPr>
        <w:t xml:space="preserve">Shariah Compliance Pathway:</w:t>
      </w:r>
      <w:r>
        <w:t xml:space="preserve"> </w:t>
      </w:r>
      <w:r>
        <w:t xml:space="preserve">Tests compliance with Fatwa MUI butir 3 (the November 2021 decision permitting cryptocurrency only if backed by clear underlying assets meeting Shariah requirements)</w:t>
      </w:r>
    </w:p>
    <w:p>
      <w:pPr>
        <w:pStyle w:val="FirstParagraph"/>
      </w:pPr>
      <w:r>
        <w:rPr>
          <w:bCs/>
          <w:b/>
        </w:rPr>
        <w:t xml:space="preserve">Seven Sandbox Models (As of August 2025):</w:t>
      </w:r>
    </w:p>
    <w:p>
      <w:pPr>
        <w:pStyle w:val="BodyText"/>
      </w:pPr>
      <w:r>
        <w:rPr>
          <w:bCs/>
          <w:b/>
        </w:rPr>
        <w:t xml:space="preserve">Model 1: Bond Tokenization (Tokenisasi Obligasi)</w:t>
      </w:r>
      <w:r>
        <w:t xml:space="preserve"> </w:t>
      </w:r>
      <w:r>
        <w:t xml:space="preserve">- Underlying: Real-world assets (RWA) — corporate/government bonds</w:t>
      </w:r>
      <w:r>
        <w:t xml:space="preserve"> </w:t>
      </w:r>
      <w:r>
        <w:t xml:space="preserve">- Structure: RWA tokens representing underlying bond obligations</w:t>
      </w:r>
      <w:r>
        <w:t xml:space="preserve"> </w:t>
      </w:r>
      <w:r>
        <w:t xml:space="preserve">- Shariah compliance: Yes — underlying bonds must be Shariah-compliant</w:t>
      </w:r>
      <w:r>
        <w:t xml:space="preserve"> </w:t>
      </w:r>
      <w:r>
        <w:t xml:space="preserve">- Status: Operating</w:t>
      </w:r>
    </w:p>
    <w:p>
      <w:pPr>
        <w:pStyle w:val="BodyText"/>
      </w:pPr>
      <w:r>
        <w:rPr>
          <w:bCs/>
          <w:b/>
        </w:rPr>
        <w:t xml:space="preserve">Models 2 &amp; 3: Property/Asset Tokenization (Tokenisasi Manfaat dan Platform Kepemilikan Properti)</w:t>
      </w:r>
      <w:r>
        <w:t xml:space="preserve"> </w:t>
      </w:r>
      <w:r>
        <w:t xml:space="preserve">- Underlying: Real estate and property assets with defined valuation</w:t>
      </w:r>
      <w:r>
        <w:t xml:space="preserve"> </w:t>
      </w:r>
      <w:r>
        <w:t xml:space="preserve">- Structure: RWA tokens representing fractional ownership or usufruct (manfaat)</w:t>
      </w:r>
      <w:r>
        <w:t xml:space="preserve"> </w:t>
      </w:r>
      <w:r>
        <w:t xml:space="preserve">- Shariah compliance: Conditional — property must have clear title and permissible use</w:t>
      </w:r>
      <w:r>
        <w:t xml:space="preserve"> </w:t>
      </w:r>
      <w:r>
        <w:t xml:space="preserve">- Status: Operating</w:t>
      </w:r>
    </w:p>
    <w:p>
      <w:pPr>
        <w:pStyle w:val="BodyText"/>
      </w:pPr>
      <w:r>
        <w:rPr>
          <w:bCs/>
          <w:b/>
        </w:rPr>
        <w:t xml:space="preserve">Model 4: Digital Identity (Identitas Digital)</w:t>
      </w:r>
      <w:r>
        <w:t xml:space="preserve"> </w:t>
      </w:r>
      <w:r>
        <w:t xml:space="preserve">- Underlying: Digital identity credentials and authentication certificates</w:t>
      </w:r>
      <w:r>
        <w:t xml:space="preserve"> </w:t>
      </w:r>
      <w:r>
        <w:t xml:space="preserve">- Structure: Verifiable digital identity services on blockchain</w:t>
      </w:r>
      <w:r>
        <w:t xml:space="preserve"> </w:t>
      </w:r>
      <w:r>
        <w:t xml:space="preserve">- Shariah compliance: Yes — supports KYC/CDD and regulatory compliance</w:t>
      </w:r>
      <w:r>
        <w:t xml:space="preserve"> </w:t>
      </w:r>
      <w:r>
        <w:t xml:space="preserve">- Status: Operating</w:t>
      </w:r>
    </w:p>
    <w:p>
      <w:pPr>
        <w:pStyle w:val="BodyText"/>
      </w:pPr>
      <w:r>
        <w:rPr>
          <w:bCs/>
          <w:b/>
        </w:rPr>
        <w:t xml:space="preserve">Model 5: Cryptocurrency Index (Dana Kripto Indeks)</w:t>
      </w:r>
      <w:r>
        <w:t xml:space="preserve"> </w:t>
      </w:r>
      <w:r>
        <w:t xml:space="preserve">- Underlying: Bitcoin, Ethereum, and Solana price indices</w:t>
      </w:r>
      <w:r>
        <w:t xml:space="preserve"> </w:t>
      </w:r>
      <w:r>
        <w:t xml:space="preserve">- Structure: Index-tracking funds with transparent underlying calculation</w:t>
      </w:r>
      <w:r>
        <w:t xml:space="preserve"> </w:t>
      </w:r>
      <w:r>
        <w:t xml:space="preserve">- Shariah compliance: Conditional — permits pure speculation without underlying value, requires careful assessment</w:t>
      </w:r>
      <w:r>
        <w:t xml:space="preserve"> </w:t>
      </w:r>
      <w:r>
        <w:t xml:space="preserve">- Status: Operating</w:t>
      </w:r>
    </w:p>
    <w:p>
      <w:pPr>
        <w:pStyle w:val="BodyText"/>
      </w:pPr>
      <w:r>
        <w:rPr>
          <w:bCs/>
          <w:b/>
        </w:rPr>
        <w:t xml:space="preserve">Model 6: Stablecoin (Stablecoin 100% Rupiah-Backed)</w:t>
      </w:r>
      <w:r>
        <w:t xml:space="preserve"> </w:t>
      </w:r>
      <w:r>
        <w:t xml:space="preserve">- Underlying: Indonesian Rupiah cash reserves (1:1 collateralization)</w:t>
      </w:r>
      <w:r>
        <w:t xml:space="preserve"> </w:t>
      </w:r>
      <w:r>
        <w:t xml:space="preserve">- Structure: USDR (USD Rupiah equivalent) fully backed by rupiah in banking custody</w:t>
      </w:r>
      <w:r>
        <w:t xml:space="preserve"> </w:t>
      </w:r>
      <w:r>
        <w:t xml:space="preserve">- Shariah compliance: Yes — underlying fiat currency backing eliminates gharar</w:t>
      </w:r>
      <w:r>
        <w:t xml:space="preserve"> </w:t>
      </w:r>
      <w:r>
        <w:t xml:space="preserve">- Status: Operating</w:t>
      </w:r>
    </w:p>
    <w:p>
      <w:pPr>
        <w:pStyle w:val="BodyText"/>
      </w:pPr>
      <w:r>
        <w:rPr>
          <w:bCs/>
          <w:b/>
        </w:rPr>
        <w:t xml:space="preserve">Model 7: Digital Asset Custody (Kustodian AKD)</w:t>
      </w:r>
      <w:r>
        <w:t xml:space="preserve"> </w:t>
      </w:r>
      <w:r>
        <w:t xml:space="preserve">- Underlying: Custody and settlement services for digital assets</w:t>
      </w:r>
      <w:r>
        <w:t xml:space="preserve"> </w:t>
      </w:r>
      <w:r>
        <w:t xml:space="preserve">- Structure: Non-custodial transaction services; participants retain asset ownership</w:t>
      </w:r>
      <w:r>
        <w:t xml:space="preserve"> </w:t>
      </w:r>
      <w:r>
        <w:t xml:space="preserve">- Shariah compliance: Yes — facilitates Shariah-compliant asset management without custody concentration</w:t>
      </w:r>
      <w:r>
        <w:t xml:space="preserve"> </w:t>
      </w:r>
      <w:r>
        <w:t xml:space="preserve">- Status: Operating (8 August 2025 approval date)</w:t>
      </w:r>
    </w:p>
    <w:p>
      <w:pPr>
        <w:pStyle w:val="BodyText"/>
      </w:pPr>
      <w:r>
        <w:rPr>
          <w:bCs/>
          <w:b/>
        </w:rPr>
        <w:t xml:space="preserve">Sandbox Operationalization Model:</w:t>
      </w:r>
    </w:p>
    <w:p>
      <w:pPr>
        <w:pStyle w:val="BodyText"/>
      </w:pPr>
      <w:r>
        <w:t xml:space="preserve">The sandbox framework operationalizes Fatwa MUI butir 3 (November 2021 decision) by establishing specific requirements:</w:t>
      </w:r>
      <w:r>
        <w:t xml:space="preserve"> </w:t>
      </w:r>
      <w:r>
        <w:t xml:space="preserve">- Clear underlying assets required (not pure cryptocurrency speculation)</w:t>
      </w:r>
      <w:r>
        <w:t xml:space="preserve"> </w:t>
      </w:r>
      <w:r>
        <w:t xml:space="preserve">- Shariah compliance verification before market launch</w:t>
      </w:r>
      <w:r>
        <w:t xml:space="preserve"> </w:t>
      </w:r>
      <w:r>
        <w:t xml:space="preserve">- Limited participants during testing phase</w:t>
      </w:r>
      <w:r>
        <w:t xml:space="preserve"> </w:t>
      </w:r>
      <w:r>
        <w:t xml:space="preserve">- Regular regulatory review and compliance audits</w:t>
      </w:r>
      <w:r>
        <w:t xml:space="preserve"> </w:t>
      </w:r>
      <w:r>
        <w:t xml:space="preserve">- Data collection on market behavior and consumer protection outcomes</w:t>
      </w:r>
    </w:p>
    <w:p>
      <w:r>
        <w:pict>
          <v:rect style="width:0;height:1.5pt" o:hralign="center" o:hrstd="t" o:hr="t"/>
        </w:pict>
      </w:r>
    </w:p>
    <w:bookmarkEnd w:id="221"/>
    <w:bookmarkStart w:id="222" w:name="Xf1dafc16f7839869804984cdc0441dfac2ecf93"/>
    <w:p>
      <w:pPr>
        <w:pStyle w:val="Heading3"/>
      </w:pPr>
      <w:r>
        <w:t xml:space="preserve">4.1.9 Case Study: GIDR (Gold Indonesia Republic) Token — Operationalizing Fatwa MUI Butir 3</w:t>
      </w:r>
    </w:p>
    <w:p>
      <w:pPr>
        <w:pStyle w:val="FirstParagraph"/>
      </w:pPr>
      <w:r>
        <w:rPr>
          <w:bCs/>
          <w:b/>
        </w:rPr>
        <w:t xml:space="preserve">Background:</w:t>
      </w:r>
    </w:p>
    <w:p>
      <w:pPr>
        <w:pStyle w:val="BodyText"/>
      </w:pPr>
      <w:r>
        <w:t xml:space="preserve">Gold Indonesia Republic (GIDR) represents the first sandbox-tested cryptocurrency model operationalizing the November 2021 Ijtima’ Ulama MUI decision (butir 3 exception). This case demonstrates how OJK translates jurisprudential requirements into market-ready compliance structures.</w:t>
      </w:r>
    </w:p>
    <w:p>
      <w:pPr>
        <w:pStyle w:val="BodyText"/>
      </w:pPr>
      <w:r>
        <w:rPr>
          <w:bCs/>
          <w:b/>
        </w:rPr>
        <w:t xml:space="preserve">Asset-Backing Structure:</w:t>
      </w:r>
    </w:p>
    <w:p>
      <w:pPr>
        <w:numPr>
          <w:ilvl w:val="0"/>
          <w:numId w:val="1108"/>
        </w:numPr>
        <w:pStyle w:val="Compact"/>
      </w:pPr>
      <w:r>
        <w:rPr>
          <w:bCs/>
          <w:b/>
        </w:rPr>
        <w:t xml:space="preserve">Underlying:</w:t>
      </w:r>
      <w:r>
        <w:t xml:space="preserve"> </w:t>
      </w:r>
      <w:r>
        <w:t xml:space="preserve">Physical gold bars stored in vault under regulatory supervision</w:t>
      </w:r>
    </w:p>
    <w:p>
      <w:pPr>
        <w:numPr>
          <w:ilvl w:val="0"/>
          <w:numId w:val="1108"/>
        </w:numPr>
        <w:pStyle w:val="Compact"/>
      </w:pPr>
      <w:r>
        <w:rPr>
          <w:bCs/>
          <w:b/>
        </w:rPr>
        <w:t xml:space="preserve">Tokenization:</w:t>
      </w:r>
      <w:r>
        <w:t xml:space="preserve"> </w:t>
      </w:r>
      <w:r>
        <w:t xml:space="preserve">1 GIDR token = 1 gram of physical gold</w:t>
      </w:r>
    </w:p>
    <w:p>
      <w:pPr>
        <w:numPr>
          <w:ilvl w:val="0"/>
          <w:numId w:val="1108"/>
        </w:numPr>
        <w:pStyle w:val="Compact"/>
      </w:pPr>
      <w:r>
        <w:rPr>
          <w:bCs/>
          <w:b/>
        </w:rPr>
        <w:t xml:space="preserve">Custody:</w:t>
      </w:r>
      <w:r>
        <w:t xml:space="preserve"> </w:t>
      </w:r>
      <w:r>
        <w:t xml:space="preserve">PAJK (licensed digital asset custodian) manages physical gold inventory</w:t>
      </w:r>
    </w:p>
    <w:p>
      <w:pPr>
        <w:numPr>
          <w:ilvl w:val="0"/>
          <w:numId w:val="1108"/>
        </w:numPr>
        <w:pStyle w:val="Compact"/>
      </w:pPr>
      <w:r>
        <w:rPr>
          <w:bCs/>
          <w:b/>
        </w:rPr>
        <w:t xml:space="preserve">Redemption:</w:t>
      </w:r>
      <w:r>
        <w:t xml:space="preserve"> </w:t>
      </w:r>
      <w:r>
        <w:t xml:space="preserve">Tokens redeemable 1:1 for physical gold or rupiah equivalent</w:t>
      </w:r>
    </w:p>
    <w:p>
      <w:pPr>
        <w:numPr>
          <w:ilvl w:val="0"/>
          <w:numId w:val="1108"/>
        </w:numPr>
        <w:pStyle w:val="Compact"/>
      </w:pPr>
      <w:r>
        <w:rPr>
          <w:bCs/>
          <w:b/>
        </w:rPr>
        <w:t xml:space="preserve">Blockchain:</w:t>
      </w:r>
      <w:r>
        <w:t xml:space="preserve"> </w:t>
      </w:r>
      <w:r>
        <w:t xml:space="preserve">Cryptocurrency issued on blockchain with token transfer capability</w:t>
      </w:r>
    </w:p>
    <w:p>
      <w:pPr>
        <w:pStyle w:val="FirstParagraph"/>
      </w:pPr>
      <w:r>
        <w:rPr>
          <w:bCs/>
          <w:b/>
        </w:rPr>
        <w:t xml:space="preserve">Shariah Compliance Alignment:</w:t>
      </w:r>
    </w:p>
    <w:p>
      <w:pPr>
        <w:pStyle w:val="BodyText"/>
      </w:pPr>
      <w:r>
        <w:t xml:space="preserve">GIDR satisfies all requirements of Fatwa MUI butir 3 (2021 exception):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GIDR Implementation</w:t>
            </w:r>
          </w:p>
        </w:tc>
        <w:tc>
          <w:tcPr/>
          <w:p>
            <w:pPr>
              <w:pStyle w:val="Compact"/>
              <w:jc w:val="left"/>
            </w:pPr>
            <w:r>
              <w:t xml:space="preserve">Islamic Law Basis</w:t>
            </w:r>
          </w:p>
        </w:tc>
      </w:tr>
      <w:tr>
        <w:tc>
          <w:tcPr/>
          <w:p>
            <w:pPr>
              <w:pStyle w:val="Compact"/>
              <w:jc w:val="left"/>
            </w:pPr>
            <w:r>
              <w:t xml:space="preserve">Clear underlying asset</w:t>
            </w:r>
          </w:p>
        </w:tc>
        <w:tc>
          <w:tcPr/>
          <w:p>
            <w:pPr>
              <w:pStyle w:val="Compact"/>
              <w:jc w:val="left"/>
            </w:pPr>
            <w:r>
              <w:t xml:space="preserve">Physical gold (1g per token)</w:t>
            </w:r>
          </w:p>
        </w:tc>
        <w:tc>
          <w:tcPr/>
          <w:p>
            <w:pPr>
              <w:pStyle w:val="Compact"/>
              <w:jc w:val="left"/>
            </w:pPr>
            <w:r>
              <w:t xml:space="preserve">Al-Tahaqquq (certainty)</w:t>
            </w:r>
          </w:p>
        </w:tc>
      </w:tr>
      <w:tr>
        <w:tc>
          <w:tcPr/>
          <w:p>
            <w:pPr>
              <w:pStyle w:val="Compact"/>
              <w:jc w:val="left"/>
            </w:pPr>
            <w:r>
              <w:t xml:space="preserve">Physical backing</w:t>
            </w:r>
          </w:p>
        </w:tc>
        <w:tc>
          <w:tcPr/>
          <w:p>
            <w:pPr>
              <w:pStyle w:val="Compact"/>
              <w:jc w:val="left"/>
            </w:pPr>
            <w:r>
              <w:t xml:space="preserve">Gold vault custody with audit</w:t>
            </w:r>
          </w:p>
        </w:tc>
        <w:tc>
          <w:tcPr/>
          <w:p>
            <w:pPr>
              <w:pStyle w:val="Compact"/>
              <w:jc w:val="left"/>
            </w:pPr>
            <w:r>
              <w:t xml:space="preserve">Real asset support</w:t>
            </w:r>
          </w:p>
        </w:tc>
      </w:tr>
      <w:tr>
        <w:tc>
          <w:tcPr/>
          <w:p>
            <w:pPr>
              <w:pStyle w:val="Compact"/>
              <w:jc w:val="left"/>
            </w:pPr>
            <w:r>
              <w:t xml:space="preserve">No gharar</w:t>
            </w:r>
          </w:p>
        </w:tc>
        <w:tc>
          <w:tcPr/>
          <w:p>
            <w:pPr>
              <w:pStyle w:val="Compact"/>
              <w:jc w:val="left"/>
            </w:pPr>
            <w:r>
              <w:t xml:space="preserve">Fixed 1:1 ratio to underlying gold</w:t>
            </w:r>
          </w:p>
        </w:tc>
        <w:tc>
          <w:tcPr/>
          <w:p>
            <w:pPr>
              <w:pStyle w:val="Compact"/>
              <w:jc w:val="left"/>
            </w:pPr>
            <w:r>
              <w:t xml:space="preserve">Defined value certainty</w:t>
            </w:r>
          </w:p>
        </w:tc>
      </w:tr>
      <w:tr>
        <w:tc>
          <w:tcPr/>
          <w:p>
            <w:pPr>
              <w:pStyle w:val="Compact"/>
              <w:jc w:val="left"/>
            </w:pPr>
            <w:r>
              <w:t xml:space="preserve">No maysir</w:t>
            </w:r>
          </w:p>
        </w:tc>
        <w:tc>
          <w:tcPr/>
          <w:p>
            <w:pPr>
              <w:pStyle w:val="Compact"/>
              <w:jc w:val="left"/>
            </w:pPr>
            <w:r>
              <w:t xml:space="preserve">Token value tied to gold price, not speculation</w:t>
            </w:r>
          </w:p>
        </w:tc>
        <w:tc>
          <w:tcPr/>
          <w:p>
            <w:pPr>
              <w:pStyle w:val="Compact"/>
              <w:jc w:val="left"/>
            </w:pPr>
            <w:r>
              <w:t xml:space="preserve">Eliminates gambling element</w:t>
            </w:r>
          </w:p>
        </w:tc>
      </w:tr>
      <w:tr>
        <w:tc>
          <w:tcPr/>
          <w:p>
            <w:pPr>
              <w:pStyle w:val="Compact"/>
              <w:jc w:val="left"/>
            </w:pPr>
            <w:r>
              <w:t xml:space="preserve">Permissible use</w:t>
            </w:r>
          </w:p>
        </w:tc>
        <w:tc>
          <w:tcPr/>
          <w:p>
            <w:pPr>
              <w:pStyle w:val="Compact"/>
              <w:jc w:val="left"/>
            </w:pPr>
            <w:r>
              <w:t xml:space="preserve">Gold as wealth storage and jewelry</w:t>
            </w:r>
          </w:p>
        </w:tc>
        <w:tc>
          <w:tcPr/>
          <w:p>
            <w:pPr>
              <w:pStyle w:val="Compact"/>
              <w:jc w:val="left"/>
            </w:pPr>
            <w:r>
              <w:t xml:space="preserve">Classical Islamic practice</w:t>
            </w:r>
          </w:p>
        </w:tc>
      </w:tr>
    </w:tbl>
    <w:p>
      <w:pPr>
        <w:pStyle w:val="BodyText"/>
      </w:pPr>
      <w:r>
        <w:rPr>
          <w:bCs/>
          <w:b/>
        </w:rPr>
        <w:t xml:space="preserve">Market Launch Timeline:</w:t>
      </w:r>
    </w:p>
    <w:p>
      <w:pPr>
        <w:numPr>
          <w:ilvl w:val="0"/>
          <w:numId w:val="1109"/>
        </w:numPr>
        <w:pStyle w:val="Compact"/>
      </w:pPr>
      <w:r>
        <w:rPr>
          <w:bCs/>
          <w:b/>
        </w:rPr>
        <w:t xml:space="preserve">Tested:</w:t>
      </w:r>
      <w:r>
        <w:t xml:space="preserve"> </w:t>
      </w:r>
      <w:r>
        <w:t xml:space="preserve">Regulatory sandbox pilot (months prior)</w:t>
      </w:r>
    </w:p>
    <w:p>
      <w:pPr>
        <w:numPr>
          <w:ilvl w:val="0"/>
          <w:numId w:val="1109"/>
        </w:numPr>
        <w:pStyle w:val="Compact"/>
      </w:pPr>
      <w:r>
        <w:rPr>
          <w:bCs/>
          <w:b/>
        </w:rPr>
        <w:t xml:space="preserve">Approved:</w:t>
      </w:r>
      <w:r>
        <w:t xml:space="preserve"> </w:t>
      </w:r>
      <w:r>
        <w:t xml:space="preserve">August 8, 2025 (OJK sandbox approval)</w:t>
      </w:r>
    </w:p>
    <w:p>
      <w:pPr>
        <w:numPr>
          <w:ilvl w:val="0"/>
          <w:numId w:val="1109"/>
        </w:numPr>
        <w:pStyle w:val="Compact"/>
      </w:pPr>
      <w:r>
        <w:rPr>
          <w:bCs/>
          <w:b/>
        </w:rPr>
        <w:t xml:space="preserve">Status:</w:t>
      </w:r>
      <w:r>
        <w:t xml:space="preserve"> </w:t>
      </w:r>
      <w:r>
        <w:t xml:space="preserve">Awaiting full market launch following sandbox phase</w:t>
      </w:r>
    </w:p>
    <w:p>
      <w:pPr>
        <w:numPr>
          <w:ilvl w:val="0"/>
          <w:numId w:val="1109"/>
        </w:numPr>
        <w:pStyle w:val="Compact"/>
      </w:pPr>
      <w:r>
        <w:rPr>
          <w:bCs/>
          <w:b/>
        </w:rPr>
        <w:t xml:space="preserve">Significance:</w:t>
      </w:r>
      <w:r>
        <w:t xml:space="preserve"> </w:t>
      </w:r>
      <w:r>
        <w:t xml:space="preserve">First cryptocurrency meeting Shariah compliance standards under Indonesian regulation</w:t>
      </w:r>
    </w:p>
    <w:p>
      <w:r>
        <w:pict>
          <v:rect style="width:0;height:1.5pt" o:hralign="center" o:hrstd="t" o:hr="t"/>
        </w:pict>
      </w:r>
    </w:p>
    <w:bookmarkEnd w:id="222"/>
    <w:bookmarkStart w:id="223" w:name="X1353d4f571beeed8b15cafd688b4e5d6997a327"/>
    <w:p>
      <w:pPr>
        <w:pStyle w:val="Heading3"/>
      </w:pPr>
      <w:r>
        <w:t xml:space="preserve">4.1.10 Strategic Development Pillars: OJK’s Institutional Approach</w:t>
      </w:r>
    </w:p>
    <w:p>
      <w:pPr>
        <w:pStyle w:val="FirstParagraph"/>
      </w:pPr>
      <w:r>
        <w:t xml:space="preserve">OJK’s IAKD development strategy integrates six strategic pillars:</w:t>
      </w:r>
    </w:p>
    <w:p>
      <w:pPr>
        <w:pStyle w:val="BodyText"/>
      </w:pPr>
      <w:r>
        <w:rPr>
          <w:bCs/>
          <w:b/>
        </w:rPr>
        <w:t xml:space="preserve">1. Promoting OJK as Fintech Hub</w:t>
      </w:r>
      <w:r>
        <w:t xml:space="preserve"> </w:t>
      </w:r>
      <w:r>
        <w:t xml:space="preserve">- Active participation in Indonesia Fintech Summit and National Fintech Month</w:t>
      </w:r>
      <w:r>
        <w:t xml:space="preserve"> </w:t>
      </w:r>
      <w:r>
        <w:t xml:space="preserve">- Establishing OJK as coordinating authority for fintech ecosystem</w:t>
      </w:r>
      <w:r>
        <w:t xml:space="preserve"> </w:t>
      </w:r>
      <w:r>
        <w:t xml:space="preserve">- Building strategic partnerships with financial industry associations</w:t>
      </w:r>
    </w:p>
    <w:p>
      <w:pPr>
        <w:pStyle w:val="BodyText"/>
      </w:pPr>
      <w:r>
        <w:rPr>
          <w:bCs/>
          <w:b/>
        </w:rPr>
        <w:t xml:space="preserve">2. Innovation Development in Financial Sector</w:t>
      </w:r>
      <w:r>
        <w:t xml:space="preserve"> </w:t>
      </w:r>
      <w:r>
        <w:t xml:space="preserve">- Comprehensive ecosystem vision through National &amp; Regional Sandbox Benchmarking</w:t>
      </w:r>
      <w:r>
        <w:t xml:space="preserve"> </w:t>
      </w:r>
      <w:r>
        <w:t xml:space="preserve">- Industrial Sandbox model development</w:t>
      </w:r>
      <w:r>
        <w:t xml:space="preserve"> </w:t>
      </w:r>
      <w:r>
        <w:t xml:space="preserve">- Penta Helix Innovation Hub coordination</w:t>
      </w:r>
    </w:p>
    <w:p>
      <w:pPr>
        <w:pStyle w:val="BodyText"/>
      </w:pPr>
      <w:r>
        <w:rPr>
          <w:bCs/>
          <w:b/>
        </w:rPr>
        <w:t xml:space="preserve">3. Emergence of New Technologies</w:t>
      </w:r>
      <w:r>
        <w:t xml:space="preserve"> </w:t>
      </w:r>
      <w:r>
        <w:t xml:space="preserve">- Sandbox testing for Distributed Ledger Technology (DLT)</w:t>
      </w:r>
      <w:r>
        <w:t xml:space="preserve"> </w:t>
      </w:r>
      <w:r>
        <w:t xml:space="preserve">- Blockchain-based financial infrastructure exploration</w:t>
      </w:r>
      <w:r>
        <w:t xml:space="preserve"> </w:t>
      </w:r>
      <w:r>
        <w:t xml:space="preserve">- Artificial Intelligence and automation in financial services</w:t>
      </w:r>
      <w:r>
        <w:t xml:space="preserve"> </w:t>
      </w:r>
      <w:r>
        <w:t xml:space="preserve">- Consumer protection and risk management through technological innovation</w:t>
      </w:r>
    </w:p>
    <w:p>
      <w:pPr>
        <w:pStyle w:val="BodyText"/>
      </w:pPr>
      <w:r>
        <w:rPr>
          <w:bCs/>
          <w:b/>
        </w:rPr>
        <w:t xml:space="preserve">4. Financial Data Integration</w:t>
      </w:r>
      <w:r>
        <w:t xml:space="preserve"> </w:t>
      </w:r>
      <w:r>
        <w:t xml:space="preserve">- Open Finance framework with standardized data interchange protocols</w:t>
      </w:r>
      <w:r>
        <w:t xml:space="preserve"> </w:t>
      </w:r>
      <w:r>
        <w:t xml:space="preserve">- OJK developing Open Finance regulations for improved data sharing</w:t>
      </w:r>
      <w:r>
        <w:t xml:space="preserve"> </w:t>
      </w:r>
      <w:r>
        <w:t xml:space="preserve">- Interoperability between platforms and institutions</w:t>
      </w:r>
    </w:p>
    <w:p>
      <w:pPr>
        <w:pStyle w:val="BodyText"/>
      </w:pPr>
      <w:r>
        <w:rPr>
          <w:bCs/>
          <w:b/>
        </w:rPr>
        <w:t xml:space="preserve">5. Regulatory Requirements for IAKD</w:t>
      </w:r>
      <w:r>
        <w:t xml:space="preserve"> </w:t>
      </w:r>
      <w:r>
        <w:t xml:space="preserve">- Risk-based, adaptive, collaborative, and balanced regulations</w:t>
      </w:r>
      <w:r>
        <w:t xml:space="preserve"> </w:t>
      </w:r>
      <w:r>
        <w:t xml:space="preserve">- Tailored requirements for different innovation types</w:t>
      </w:r>
      <w:r>
        <w:t xml:space="preserve"> </w:t>
      </w:r>
      <w:r>
        <w:t xml:space="preserve">- Ongoing coordination with other regulators</w:t>
      </w:r>
    </w:p>
    <w:p>
      <w:pPr>
        <w:pStyle w:val="BodyText"/>
      </w:pPr>
      <w:r>
        <w:rPr>
          <w:bCs/>
          <w:b/>
        </w:rPr>
        <w:t xml:space="preserve">6. Strengthening Cybersecurity</w:t>
      </w:r>
      <w:r>
        <w:t xml:space="preserve"> </w:t>
      </w:r>
      <w:r>
        <w:t xml:space="preserve">- Response to growing fintech sector security risks</w:t>
      </w:r>
      <w:r>
        <w:t xml:space="preserve"> </w:t>
      </w:r>
      <w:r>
        <w:t xml:space="preserve">- Best practices development for cybersecurity standards</w:t>
      </w:r>
      <w:r>
        <w:t xml:space="preserve"> </w:t>
      </w:r>
      <w:r>
        <w:t xml:space="preserve">- International cooperation on cybersecurity norms</w:t>
      </w:r>
    </w:p>
    <w:p>
      <w:r>
        <w:pict>
          <v:rect style="width:0;height:1.5pt" o:hralign="center" o:hrstd="t" o:hr="t"/>
        </w:pict>
      </w:r>
    </w:p>
    <w:bookmarkEnd w:id="223"/>
    <w:bookmarkEnd w:id="224"/>
    <w:bookmarkStart w:id="231" w:name="Xa935bf40ceefaa8433db878b7ea25da5d6776db"/>
    <w:p>
      <w:pPr>
        <w:pStyle w:val="Heading2"/>
      </w:pPr>
      <w:r>
        <w:t xml:space="preserve">4.2 Malaysia: BNM Recognition with Regulatory Framework</w:t>
      </w:r>
    </w:p>
    <w:bookmarkStart w:id="225" w:name="malaysian-financial-context"/>
    <w:p>
      <w:pPr>
        <w:pStyle w:val="Heading3"/>
      </w:pPr>
      <w:r>
        <w:t xml:space="preserve">4.2.1 Malaysian Financial Context</w:t>
      </w:r>
    </w:p>
    <w:p>
      <w:pPr>
        <w:pStyle w:val="FirstParagraph"/>
      </w:pPr>
      <w:r>
        <w:rPr>
          <w:bCs/>
          <w:b/>
        </w:rPr>
        <w:t xml:space="preserve">Market Overview:</w:t>
      </w:r>
      <w:r>
        <w:t xml:space="preserve"> </w:t>
      </w:r>
      <w:r>
        <w:t xml:space="preserve">Malaysia represents Southeast Asia’s second-largest Islamic finance hub with strong Islamic banking presence. Bank Negara Malaysia (BNM) has adopted more innovation-friendly approach than Indonesia.</w:t>
      </w:r>
    </w:p>
    <w:p>
      <w:pPr>
        <w:pStyle w:val="BodyText"/>
      </w:pPr>
      <w:r>
        <w:rPr>
          <w:bCs/>
          <w:b/>
        </w:rPr>
        <w:t xml:space="preserve">Islamic Finance Market:</w:t>
      </w:r>
      <w:r>
        <w:t xml:space="preserve"> </w:t>
      </w:r>
      <w:r>
        <w:t xml:space="preserve">- Islamic banking assets: ~$140+ billion USD</w:t>
      </w:r>
      <w:r>
        <w:t xml:space="preserve"> </w:t>
      </w:r>
      <w:r>
        <w:t xml:space="preserve">- Islamic finance market share: 30%+ of banking system</w:t>
      </w:r>
      <w:r>
        <w:t xml:space="preserve"> </w:t>
      </w:r>
      <w:r>
        <w:t xml:space="preserve">- Islamic finance innovation center for Southeast Asia</w:t>
      </w:r>
      <w:r>
        <w:t xml:space="preserve"> </w:t>
      </w:r>
      <w:r>
        <w:t xml:space="preserve">- Headquarters of IIFM (International Islamic Finance Market)</w:t>
      </w:r>
    </w:p>
    <w:p>
      <w:pPr>
        <w:pStyle w:val="BodyText"/>
      </w:pPr>
      <w:r>
        <w:rPr>
          <w:bCs/>
          <w:b/>
        </w:rPr>
        <w:t xml:space="preserve">Cryptocurrency Market:</w:t>
      </w:r>
      <w:r>
        <w:t xml:space="preserve"> </w:t>
      </w:r>
      <w:r>
        <w:t xml:space="preserve">- Estimated 2-3 million cryptocurrency users</w:t>
      </w:r>
      <w:r>
        <w:t xml:space="preserve"> </w:t>
      </w:r>
      <w:r>
        <w:t xml:space="preserve">- Emerging fintech and blockchain innovation ecosystem</w:t>
      </w:r>
      <w:r>
        <w:t xml:space="preserve"> </w:t>
      </w:r>
      <w:r>
        <w:t xml:space="preserve">- Younger demographic driving cryptocurrency adoption</w:t>
      </w:r>
      <w:r>
        <w:t xml:space="preserve"> </w:t>
      </w:r>
      <w:r>
        <w:t xml:space="preserve">- Institutional interest in blockchain technology</w:t>
      </w:r>
    </w:p>
    <w:bookmarkEnd w:id="225"/>
    <w:bookmarkStart w:id="226" w:name="Xde1fe10f69cc0ed02d8d3ba5bcfcdaeab0f0d52"/>
    <w:p>
      <w:pPr>
        <w:pStyle w:val="Heading3"/>
      </w:pPr>
      <w:r>
        <w:t xml:space="preserve">4.2.2 Regulatory Framework: BNM Digital Assets Guidelines (2024)</w:t>
      </w:r>
    </w:p>
    <w:p>
      <w:pPr>
        <w:pStyle w:val="FirstParagraph"/>
      </w:pPr>
      <w:r>
        <w:rPr>
          <w:bCs/>
          <w:b/>
        </w:rPr>
        <w:t xml:space="preserve">Official Regulation:</w:t>
      </w:r>
      <w:r>
        <w:t xml:space="preserve"> </w:t>
      </w:r>
      <w:r>
        <w:t xml:space="preserve">Bank Negara Malaysia (BNM) issued Digital Assets Guidelines in 2024, establishing comprehensive regulatory framework recognizing cryptocurrency as legitimate digital assets.</w:t>
      </w:r>
    </w:p>
    <w:p>
      <w:pPr>
        <w:pStyle w:val="BodyText"/>
      </w:pPr>
      <w:r>
        <w:rPr>
          <w:bCs/>
          <w:b/>
        </w:rPr>
        <w:t xml:space="preserve">Regulatory Approach: Recognition with Licensing Framework</w:t>
      </w:r>
    </w:p>
    <w:p>
      <w:pPr>
        <w:pStyle w:val="SourceCode"/>
      </w:pPr>
      <w:r>
        <w:rPr>
          <w:rStyle w:val="VerbatimChar"/>
        </w:rPr>
        <w:t xml:space="preserve">MALAYSIAN REGULATORY FRAMEWORK</w:t>
      </w:r>
      <w:r>
        <w:br/>
      </w:r>
      <w:r>
        <w:rPr>
          <w:rStyle w:val="VerbatimChar"/>
        </w:rPr>
        <w:t xml:space="preserve">═════════════════════════════════════════════════════════════</w:t>
      </w:r>
      <w:r>
        <w:br/>
      </w:r>
      <w:r>
        <w:br/>
      </w:r>
      <w:r>
        <w:rPr>
          <w:rStyle w:val="VerbatimChar"/>
        </w:rPr>
        <w:t xml:space="preserve">Category 1: Digital Asset Exchanges</w:t>
      </w:r>
      <w:r>
        <w:br/>
      </w:r>
      <w:r>
        <w:rPr>
          <w:rStyle w:val="VerbatimChar"/>
        </w:rPr>
        <w:t xml:space="preserve">    ├─ Recognized as legitimate financial market intermediaries</w:t>
      </w:r>
      <w:r>
        <w:br/>
      </w:r>
      <w:r>
        <w:rPr>
          <w:rStyle w:val="VerbatimChar"/>
        </w:rPr>
        <w:t xml:space="preserve">    ├─ Licensed operational status required</w:t>
      </w:r>
      <w:r>
        <w:br/>
      </w:r>
      <w:r>
        <w:rPr>
          <w:rStyle w:val="VerbatimChar"/>
        </w:rPr>
        <w:t xml:space="preserve">    ├─ Regular supervision and examination</w:t>
      </w:r>
      <w:r>
        <w:br/>
      </w:r>
      <w:r>
        <w:rPr>
          <w:rStyle w:val="VerbatimChar"/>
        </w:rPr>
        <w:t xml:space="preserve">    └─ Consumer protection obligations</w:t>
      </w:r>
      <w:r>
        <w:br/>
      </w:r>
      <w:r>
        <w:br/>
      </w:r>
      <w:r>
        <w:rPr>
          <w:rStyle w:val="VerbatimChar"/>
        </w:rPr>
        <w:t xml:space="preserve">Category 2: Digital Wallet Service Providers</w:t>
      </w:r>
      <w:r>
        <w:br/>
      </w:r>
      <w:r>
        <w:rPr>
          <w:rStyle w:val="VerbatimChar"/>
        </w:rPr>
        <w:t xml:space="preserve">    ├─ Recognized as regulated service providers</w:t>
      </w:r>
      <w:r>
        <w:br/>
      </w:r>
      <w:r>
        <w:rPr>
          <w:rStyle w:val="VerbatimChar"/>
        </w:rPr>
        <w:t xml:space="preserve">    ├─ Licensing requirements</w:t>
      </w:r>
      <w:r>
        <w:br/>
      </w:r>
      <w:r>
        <w:rPr>
          <w:rStyle w:val="VerbatimChar"/>
        </w:rPr>
        <w:t xml:space="preserve">    ├─ Custody and security standards</w:t>
      </w:r>
      <w:r>
        <w:br/>
      </w:r>
      <w:r>
        <w:rPr>
          <w:rStyle w:val="VerbatimChar"/>
        </w:rPr>
        <w:t xml:space="preserve">    └─ Consumer fund protection</w:t>
      </w:r>
      <w:r>
        <w:br/>
      </w:r>
      <w:r>
        <w:br/>
      </w:r>
      <w:r>
        <w:rPr>
          <w:rStyle w:val="VerbatimChar"/>
        </w:rPr>
        <w:t xml:space="preserve">Category 3: Digital Asset Types</w:t>
      </w:r>
      <w:r>
        <w:br/>
      </w:r>
      <w:r>
        <w:rPr>
          <w:rStyle w:val="VerbatimChar"/>
        </w:rPr>
        <w:t xml:space="preserve">    ├─ Cryptocurrencies (recognized digital assets)</w:t>
      </w:r>
      <w:r>
        <w:br/>
      </w:r>
      <w:r>
        <w:rPr>
          <w:rStyle w:val="VerbatimChar"/>
        </w:rPr>
        <w:t xml:space="preserve">    ├─ Tokenized securities (securities regulation applies)</w:t>
      </w:r>
      <w:r>
        <w:br/>
      </w:r>
      <w:r>
        <w:rPr>
          <w:rStyle w:val="VerbatimChar"/>
        </w:rPr>
        <w:t xml:space="preserve">    ├─ Stablecoins (stability assessment required)</w:t>
      </w:r>
      <w:r>
        <w:br/>
      </w:r>
      <w:r>
        <w:rPr>
          <w:rStyle w:val="VerbatimChar"/>
        </w:rPr>
        <w:t xml:space="preserve">    └─ Utility tokens (case-by-case evaluation)</w:t>
      </w:r>
      <w:r>
        <w:br/>
      </w:r>
      <w:r>
        <w:br/>
      </w:r>
      <w:r>
        <w:rPr>
          <w:rStyle w:val="VerbatimChar"/>
        </w:rPr>
        <w:t xml:space="preserve">═════════════════════════════════════════════════════════════</w:t>
      </w:r>
    </w:p>
    <w:p>
      <w:pPr>
        <w:pStyle w:val="FirstParagraph"/>
      </w:pPr>
      <w:r>
        <w:rPr>
          <w:bCs/>
          <w:b/>
        </w:rPr>
        <w:t xml:space="preserve">Key Characteristic:</w:t>
      </w:r>
      <w:r>
        <w:t xml:space="preserve"> </w:t>
      </w:r>
      <w:r>
        <w:t xml:space="preserve">Malaysia recognizes cryptocurrency as legitimate digital assets while maintaining regulatory oversight through licensing and prudential framework.</w:t>
      </w:r>
    </w:p>
    <w:bookmarkEnd w:id="226"/>
    <w:bookmarkStart w:id="227" w:name="key-regulatory-provisions-1"/>
    <w:p>
      <w:pPr>
        <w:pStyle w:val="Heading3"/>
      </w:pPr>
      <w:r>
        <w:t xml:space="preserve">4.2.3 Key Regulatory Provisions</w:t>
      </w:r>
    </w:p>
    <w:p>
      <w:pPr>
        <w:pStyle w:val="FirstParagraph"/>
      </w:pPr>
      <w:r>
        <w:rPr>
          <w:bCs/>
          <w:b/>
        </w:rPr>
        <w:t xml:space="preserve">1. Digital Exchange Licensing</w:t>
      </w:r>
    </w:p>
    <w:p>
      <w:pPr>
        <w:pStyle w:val="BodyText"/>
      </w:pPr>
      <w:r>
        <w:rPr>
          <w:bCs/>
          <w:b/>
        </w:rPr>
        <w:t xml:space="preserve">Licensing Requirements:</w:t>
      </w:r>
      <w:r>
        <w:t xml:space="preserve"> </w:t>
      </w:r>
      <w:r>
        <w:t xml:space="preserve">- Capital adequacy requirements</w:t>
      </w:r>
      <w:r>
        <w:t xml:space="preserve"> </w:t>
      </w:r>
      <w:r>
        <w:t xml:space="preserve">- Governance and board composition standards</w:t>
      </w:r>
      <w:r>
        <w:t xml:space="preserve"> </w:t>
      </w:r>
      <w:r>
        <w:t xml:space="preserve">- Risk management framework requirements</w:t>
      </w:r>
      <w:r>
        <w:t xml:space="preserve"> </w:t>
      </w:r>
      <w:r>
        <w:t xml:space="preserve">- Operational resilience standards</w:t>
      </w:r>
      <w:r>
        <w:t xml:space="preserve"> </w:t>
      </w:r>
      <w:r>
        <w:t xml:space="preserve">- Technology and cybersecurity standards</w:t>
      </w:r>
    </w:p>
    <w:p>
      <w:pPr>
        <w:pStyle w:val="BodyText"/>
      </w:pPr>
      <w:r>
        <w:rPr>
          <w:bCs/>
          <w:b/>
        </w:rPr>
        <w:t xml:space="preserve">Operational Requirements:</w:t>
      </w:r>
      <w:r>
        <w:t xml:space="preserve"> </w:t>
      </w:r>
      <w:r>
        <w:t xml:space="preserve">- Market surveillance and manipulation prevention</w:t>
      </w:r>
      <w:r>
        <w:t xml:space="preserve"> </w:t>
      </w:r>
      <w:r>
        <w:t xml:space="preserve">- Transaction monitoring and suspicious activity reporting</w:t>
      </w:r>
      <w:r>
        <w:t xml:space="preserve"> </w:t>
      </w:r>
      <w:r>
        <w:t xml:space="preserve">- Customer identification and verification (KYC)</w:t>
      </w:r>
      <w:r>
        <w:t xml:space="preserve"> </w:t>
      </w:r>
      <w:r>
        <w:t xml:space="preserve">- Segregation of customer assets</w:t>
      </w:r>
      <w:r>
        <w:t xml:space="preserve"> </w:t>
      </w:r>
      <w:r>
        <w:t xml:space="preserve">- Insurance and indemnification requirements</w:t>
      </w:r>
    </w:p>
    <w:p>
      <w:pPr>
        <w:pStyle w:val="BodyText"/>
      </w:pPr>
      <w:r>
        <w:rPr>
          <w:bCs/>
          <w:b/>
        </w:rPr>
        <w:t xml:space="preserve">Supervision:</w:t>
      </w:r>
      <w:r>
        <w:t xml:space="preserve"> </w:t>
      </w:r>
      <w:r>
        <w:t xml:space="preserve">- Regular prudential examinations</w:t>
      </w:r>
      <w:r>
        <w:t xml:space="preserve"> </w:t>
      </w:r>
      <w:r>
        <w:t xml:space="preserve">- On-site and off-site supervision</w:t>
      </w:r>
      <w:r>
        <w:t xml:space="preserve"> </w:t>
      </w:r>
      <w:r>
        <w:t xml:space="preserve">- Regular reporting requirements</w:t>
      </w:r>
      <w:r>
        <w:t xml:space="preserve"> </w:t>
      </w:r>
      <w:r>
        <w:t xml:space="preserve">- Compliance monitoring</w:t>
      </w:r>
      <w:r>
        <w:t xml:space="preserve"> </w:t>
      </w:r>
      <w:r>
        <w:t xml:space="preserve">- Enforcement actions for violations</w:t>
      </w:r>
    </w:p>
    <w:p>
      <w:pPr>
        <w:pStyle w:val="BodyText"/>
      </w:pPr>
      <w:r>
        <w:rPr>
          <w:bCs/>
          <w:b/>
        </w:rPr>
        <w:t xml:space="preserve">2. Stablecoin and Digital Token Framework</w:t>
      </w:r>
    </w:p>
    <w:p>
      <w:pPr>
        <w:pStyle w:val="BodyText"/>
      </w:pPr>
      <w:r>
        <w:rPr>
          <w:bCs/>
          <w:b/>
        </w:rPr>
        <w:t xml:space="preserve">Stablecoin Regulation:</w:t>
      </w:r>
      <w:r>
        <w:t xml:space="preserve"> </w:t>
      </w:r>
      <w:r>
        <w:t xml:space="preserve">- Recognition as potentially compliant instruments</w:t>
      </w:r>
      <w:r>
        <w:t xml:space="preserve"> </w:t>
      </w:r>
      <w:r>
        <w:t xml:space="preserve">- Stability requirements and assessment</w:t>
      </w:r>
      <w:r>
        <w:t xml:space="preserve"> </w:t>
      </w:r>
      <w:r>
        <w:t xml:space="preserve">- Backing/reserve requirements</w:t>
      </w:r>
      <w:r>
        <w:t xml:space="preserve"> </w:t>
      </w:r>
      <w:r>
        <w:t xml:space="preserve">- Redemption guarantee requirements</w:t>
      </w:r>
      <w:r>
        <w:t xml:space="preserve"> </w:t>
      </w:r>
      <w:r>
        <w:t xml:space="preserve">- Regular verification of reserves</w:t>
      </w:r>
    </w:p>
    <w:p>
      <w:pPr>
        <w:pStyle w:val="BodyText"/>
      </w:pPr>
      <w:r>
        <w:rPr>
          <w:bCs/>
          <w:b/>
        </w:rPr>
        <w:t xml:space="preserve">Utility Token Assessment:</w:t>
      </w:r>
      <w:r>
        <w:t xml:space="preserve"> </w:t>
      </w:r>
      <w:r>
        <w:t xml:space="preserve">- Case-by-case evaluation framework</w:t>
      </w:r>
      <w:r>
        <w:t xml:space="preserve"> </w:t>
      </w:r>
      <w:r>
        <w:t xml:space="preserve">- Assessment of underlying utility and economic substance</w:t>
      </w:r>
      <w:r>
        <w:t xml:space="preserve"> </w:t>
      </w:r>
      <w:r>
        <w:t xml:space="preserve">- Evaluation against securities law provisions</w:t>
      </w:r>
      <w:r>
        <w:t xml:space="preserve"> </w:t>
      </w:r>
      <w:r>
        <w:t xml:space="preserve">- Risk assessment and disclosure requirements</w:t>
      </w:r>
    </w:p>
    <w:p>
      <w:pPr>
        <w:pStyle w:val="BodyText"/>
      </w:pPr>
      <w:r>
        <w:rPr>
          <w:bCs/>
          <w:b/>
        </w:rPr>
        <w:t xml:space="preserve">3. Islamic Finance Integration</w:t>
      </w:r>
    </w:p>
    <w:p>
      <w:pPr>
        <w:pStyle w:val="BodyText"/>
      </w:pPr>
      <w:r>
        <w:rPr>
          <w:bCs/>
          <w:b/>
        </w:rPr>
        <w:t xml:space="preserve">Sharia Compliance Assessment:</w:t>
      </w:r>
    </w:p>
    <w:p>
      <w:pPr>
        <w:pStyle w:val="BodyText"/>
      </w:pPr>
      <w:r>
        <w:t xml:space="preserve">BNM coordinates with Islamic Finance industry:</w:t>
      </w:r>
      <w:r>
        <w:t xml:space="preserve"> </w:t>
      </w:r>
      <w:r>
        <w:t xml:space="preserve">-</w:t>
      </w:r>
      <w:r>
        <w:t xml:space="preserve"> </w:t>
      </w:r>
      <w:r>
        <w:rPr>
          <w:bCs/>
          <w:b/>
        </w:rPr>
        <w:t xml:space="preserve">Shariah Advisory Council</w:t>
      </w:r>
      <w:r>
        <w:t xml:space="preserve"> </w:t>
      </w:r>
      <w:r>
        <w:t xml:space="preserve">reviews Islamic finance implications</w:t>
      </w:r>
      <w:r>
        <w:t xml:space="preserve"> </w:t>
      </w:r>
      <w:r>
        <w:t xml:space="preserve">- Digital asset classification from Islamic perspective</w:t>
      </w:r>
      <w:r>
        <w:t xml:space="preserve"> </w:t>
      </w:r>
      <w:r>
        <w:t xml:space="preserve">- Sharia-compliant digital asset product development</w:t>
      </w:r>
      <w:r>
        <w:t xml:space="preserve"> </w:t>
      </w:r>
      <w:r>
        <w:t xml:space="preserve">- Islamic fintech innovation encouragement</w:t>
      </w:r>
    </w:p>
    <w:p>
      <w:pPr>
        <w:pStyle w:val="BodyText"/>
      </w:pPr>
      <w:r>
        <w:rPr>
          <w:bCs/>
          <w:b/>
        </w:rPr>
        <w:t xml:space="preserve">Key Development: Islamic Stablecoins</w:t>
      </w:r>
    </w:p>
    <w:p>
      <w:pPr>
        <w:pStyle w:val="BodyText"/>
      </w:pPr>
      <w:r>
        <w:t xml:space="preserve">Malaysia has pioneered Islamic stablecoin development:</w:t>
      </w:r>
      <w:r>
        <w:t xml:space="preserve"> </w:t>
      </w:r>
      <w:r>
        <w:t xml:space="preserve">- Recognition that properly-structured stablecoins may achieve sharia compliance</w:t>
      </w:r>
      <w:r>
        <w:t xml:space="preserve"> </w:t>
      </w:r>
      <w:r>
        <w:t xml:space="preserve">- Support for blockchain-based Islamic financial instruments</w:t>
      </w:r>
      <w:r>
        <w:t xml:space="preserve"> </w:t>
      </w:r>
      <w:r>
        <w:t xml:space="preserve">- Experimental regulatory sandbox for Islamic digital assets</w:t>
      </w:r>
      <w:r>
        <w:t xml:space="preserve"> </w:t>
      </w:r>
      <w:r>
        <w:t xml:space="preserve">- Positioning Malaysia as hub for Islamic digital finance</w:t>
      </w:r>
    </w:p>
    <w:bookmarkEnd w:id="227"/>
    <w:bookmarkStart w:id="228" w:name="regulatory-sandbox-and-innovation"/>
    <w:p>
      <w:pPr>
        <w:pStyle w:val="Heading3"/>
      </w:pPr>
      <w:r>
        <w:t xml:space="preserve">4.2.4 Regulatory Sandbox and Innovation</w:t>
      </w:r>
    </w:p>
    <w:p>
      <w:pPr>
        <w:pStyle w:val="FirstParagraph"/>
      </w:pPr>
      <w:r>
        <w:rPr>
          <w:bCs/>
          <w:b/>
        </w:rPr>
        <w:t xml:space="preserve">Digital Assets Innovation Sandbox:</w:t>
      </w:r>
    </w:p>
    <w:p>
      <w:pPr>
        <w:pStyle w:val="BodyText"/>
      </w:pPr>
      <w:r>
        <w:t xml:space="preserve">BNM operates regulatory sandbox for digital asset innovation:</w:t>
      </w:r>
      <w:r>
        <w:t xml:space="preserve"> </w:t>
      </w:r>
      <w:r>
        <w:t xml:space="preserve">- Time-limited regulatory relief for experimental projects</w:t>
      </w:r>
      <w:r>
        <w:t xml:space="preserve"> </w:t>
      </w:r>
      <w:r>
        <w:t xml:space="preserve">- Supervised environment for testing new products</w:t>
      </w:r>
      <w:r>
        <w:t xml:space="preserve"> </w:t>
      </w:r>
      <w:r>
        <w:t xml:space="preserve">- Reduced compliance burden for approved participants</w:t>
      </w:r>
      <w:r>
        <w:t xml:space="preserve"> </w:t>
      </w:r>
      <w:r>
        <w:t xml:space="preserve">- Learning opportunity for regulators and industry</w:t>
      </w:r>
      <w:r>
        <w:t xml:space="preserve"> </w:t>
      </w:r>
      <w:r>
        <w:t xml:space="preserve">- Pathway to full licensing upon successful testing</w:t>
      </w:r>
    </w:p>
    <w:p>
      <w:pPr>
        <w:pStyle w:val="BodyText"/>
      </w:pPr>
      <w:r>
        <w:rPr>
          <w:bCs/>
          <w:b/>
        </w:rPr>
        <w:t xml:space="preserve">Innovation Focus Areas:</w:t>
      </w:r>
      <w:r>
        <w:t xml:space="preserve"> </w:t>
      </w:r>
      <w:r>
        <w:t xml:space="preserve">- Islamic stablecoins and tokenized Islamic financial products</w:t>
      </w:r>
      <w:r>
        <w:t xml:space="preserve"> </w:t>
      </w:r>
      <w:r>
        <w:t xml:space="preserve">- Blockchain-based trade finance</w:t>
      </w:r>
      <w:r>
        <w:t xml:space="preserve"> </w:t>
      </w:r>
      <w:r>
        <w:t xml:space="preserve">- Cross-border Islamic payment systems</w:t>
      </w:r>
      <w:r>
        <w:t xml:space="preserve"> </w:t>
      </w:r>
      <w:r>
        <w:t xml:space="preserve">- Smart contracts for Islamic contracts</w:t>
      </w:r>
      <w:r>
        <w:t xml:space="preserve"> </w:t>
      </w:r>
      <w:r>
        <w:t xml:space="preserve">- Distributed ledger technology applications</w:t>
      </w:r>
    </w:p>
    <w:bookmarkEnd w:id="228"/>
    <w:bookmarkStart w:id="229" w:name="assessment-strengths-and-weaknesses-1"/>
    <w:p>
      <w:pPr>
        <w:pStyle w:val="Heading3"/>
      </w:pPr>
      <w:r>
        <w:t xml:space="preserve">4.2.5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Innovation Friendly</w:t>
      </w:r>
      <w:r>
        <w:t xml:space="preserve"> </w:t>
      </w:r>
      <w:r>
        <w:t xml:space="preserve">- Regulatory sandbox encourages experimentation</w:t>
      </w:r>
      <w:r>
        <w:t xml:space="preserve"> </w:t>
      </w:r>
      <w:r>
        <w:t xml:space="preserve">- Proportionate regulatory approach</w:t>
      </w:r>
      <w:r>
        <w:t xml:space="preserve"> </w:t>
      </w:r>
      <w:r>
        <w:t xml:space="preserve">- Clear pathway from innovation to full licensing</w:t>
      </w:r>
      <w:r>
        <w:t xml:space="preserve"> </w:t>
      </w:r>
      <w:r>
        <w:t xml:space="preserve">- Attracting blockchain and fintech talent</w:t>
      </w:r>
    </w:p>
    <w:p>
      <w:pPr>
        <w:pStyle w:val="BodyText"/>
      </w:pPr>
      <w:r>
        <w:t xml:space="preserve">✅</w:t>
      </w:r>
      <w:r>
        <w:t xml:space="preserve"> </w:t>
      </w:r>
      <w:r>
        <w:rPr>
          <w:bCs/>
          <w:b/>
        </w:rPr>
        <w:t xml:space="preserve">Islamic Finance Integration</w:t>
      </w:r>
      <w:r>
        <w:t xml:space="preserve"> </w:t>
      </w:r>
      <w:r>
        <w:t xml:space="preserve">- Recognition of sharia compliance considerations</w:t>
      </w:r>
      <w:r>
        <w:t xml:space="preserve"> </w:t>
      </w:r>
      <w:r>
        <w:t xml:space="preserve">- Support for Islamic digital asset development</w:t>
      </w:r>
      <w:r>
        <w:t xml:space="preserve"> </w:t>
      </w:r>
      <w:r>
        <w:t xml:space="preserve">- Positioning for Islamic fintech leadership</w:t>
      </w:r>
      <w:r>
        <w:t xml:space="preserve"> </w:t>
      </w:r>
      <w:r>
        <w:t xml:space="preserve">- Pioneering Islamic stablecoin framework</w:t>
      </w:r>
    </w:p>
    <w:p>
      <w:pPr>
        <w:pStyle w:val="BodyText"/>
      </w:pPr>
      <w:r>
        <w:t xml:space="preserve">✅</w:t>
      </w:r>
      <w:r>
        <w:t xml:space="preserve"> </w:t>
      </w:r>
      <w:r>
        <w:rPr>
          <w:bCs/>
          <w:b/>
        </w:rPr>
        <w:t xml:space="preserve">Balanced Regulation</w:t>
      </w:r>
      <w:r>
        <w:t xml:space="preserve"> </w:t>
      </w:r>
      <w:r>
        <w:t xml:space="preserve">- Consumer protection without excessive restriction</w:t>
      </w:r>
      <w:r>
        <w:t xml:space="preserve"> </w:t>
      </w:r>
      <w:r>
        <w:t xml:space="preserve">- Innovation encouragement with risk management</w:t>
      </w:r>
      <w:r>
        <w:t xml:space="preserve"> </w:t>
      </w:r>
      <w:r>
        <w:t xml:space="preserve">- Clear licensing framework reducing uncertainty</w:t>
      </w:r>
      <w:r>
        <w:t xml:space="preserve"> </w:t>
      </w:r>
      <w:r>
        <w:t xml:space="preserve">- Proportionate compliance requirements</w:t>
      </w:r>
    </w:p>
    <w:p>
      <w:pPr>
        <w:pStyle w:val="BodyText"/>
      </w:pPr>
      <w:r>
        <w:t xml:space="preserve">✅</w:t>
      </w:r>
      <w:r>
        <w:t xml:space="preserve"> </w:t>
      </w:r>
      <w:r>
        <w:rPr>
          <w:bCs/>
          <w:b/>
        </w:rPr>
        <w:t xml:space="preserve">Market Development</w:t>
      </w:r>
      <w:r>
        <w:t xml:space="preserve"> </w:t>
      </w:r>
      <w:r>
        <w:t xml:space="preserve">- Attracting regional fintech investment</w:t>
      </w:r>
      <w:r>
        <w:t xml:space="preserve"> </w:t>
      </w:r>
      <w:r>
        <w:t xml:space="preserve">- Building innovation ecosystem</w:t>
      </w:r>
      <w:r>
        <w:t xml:space="preserve"> </w:t>
      </w:r>
      <w:r>
        <w:t xml:space="preserve">- Positioning Malaysia as regional crypto hub</w:t>
      </w:r>
      <w:r>
        <w:t xml:space="preserve"> </w:t>
      </w:r>
      <w:r>
        <w:t xml:space="preserve">- Supporting institutional participation</w:t>
      </w:r>
    </w:p>
    <w:p>
      <w:pPr>
        <w:pStyle w:val="BodyText"/>
      </w:pPr>
      <w:r>
        <w:rPr>
          <w:bCs/>
          <w:b/>
        </w:rPr>
        <w:t xml:space="preserve">Regulatory Weaknesses:</w:t>
      </w:r>
    </w:p>
    <w:p>
      <w:pPr>
        <w:pStyle w:val="BodyText"/>
      </w:pPr>
      <w:r>
        <w:t xml:space="preserve">❌</w:t>
      </w:r>
      <w:r>
        <w:t xml:space="preserve"> </w:t>
      </w:r>
      <w:r>
        <w:rPr>
          <w:bCs/>
          <w:b/>
        </w:rPr>
        <w:t xml:space="preserve">Evolving Framework</w:t>
      </w:r>
      <w:r>
        <w:t xml:space="preserve"> </w:t>
      </w:r>
      <w:r>
        <w:t xml:space="preserve">- Relatively new framework (2024)</w:t>
      </w:r>
      <w:r>
        <w:t xml:space="preserve"> </w:t>
      </w:r>
      <w:r>
        <w:t xml:space="preserve">- Implementation details still developing</w:t>
      </w:r>
      <w:r>
        <w:t xml:space="preserve"> </w:t>
      </w:r>
      <w:r>
        <w:t xml:space="preserve">- Potential for regulatory uncertainty as framework matures</w:t>
      </w:r>
      <w:r>
        <w:t xml:space="preserve"> </w:t>
      </w:r>
      <w:r>
        <w:t xml:space="preserve">- Supervision experience limited</w:t>
      </w:r>
    </w:p>
    <w:p>
      <w:pPr>
        <w:pStyle w:val="BodyText"/>
      </w:pPr>
      <w:r>
        <w:t xml:space="preserve">❌</w:t>
      </w:r>
      <w:r>
        <w:t xml:space="preserve"> </w:t>
      </w:r>
      <w:r>
        <w:rPr>
          <w:bCs/>
          <w:b/>
        </w:rPr>
        <w:t xml:space="preserve">Stablecoin Safeguards</w:t>
      </w:r>
      <w:r>
        <w:t xml:space="preserve"> </w:t>
      </w:r>
      <w:r>
        <w:t xml:space="preserve">- Stablecoin framework not yet fully tested</w:t>
      </w:r>
      <w:r>
        <w:t xml:space="preserve"> </w:t>
      </w:r>
      <w:r>
        <w:t xml:space="preserve">- Redemption guarantee enforcement mechanisms limited</w:t>
      </w:r>
      <w:r>
        <w:t xml:space="preserve"> </w:t>
      </w:r>
      <w:r>
        <w:t xml:space="preserve">- Reserve verification procedures developing</w:t>
      </w:r>
      <w:r>
        <w:t xml:space="preserve"> </w:t>
      </w:r>
      <w:r>
        <w:t xml:space="preserve">- Potential systemic risks from stablecoin growth</w:t>
      </w:r>
    </w:p>
    <w:p>
      <w:pPr>
        <w:pStyle w:val="BodyText"/>
      </w:pPr>
      <w:r>
        <w:t xml:space="preserve">❌</w:t>
      </w:r>
      <w:r>
        <w:t xml:space="preserve"> </w:t>
      </w:r>
      <w:r>
        <w:rPr>
          <w:bCs/>
          <w:b/>
        </w:rPr>
        <w:t xml:space="preserve">Cross-Border Coordination</w:t>
      </w:r>
      <w:r>
        <w:t xml:space="preserve"> </w:t>
      </w:r>
      <w:r>
        <w:t xml:space="preserve">- Limited coordination with other jurisdictions</w:t>
      </w:r>
      <w:r>
        <w:t xml:space="preserve"> </w:t>
      </w:r>
      <w:r>
        <w:t xml:space="preserve">- Regulatory arbitrage potential (flows from stricter jurisdictions)</w:t>
      </w:r>
      <w:r>
        <w:t xml:space="preserve"> </w:t>
      </w:r>
      <w:r>
        <w:t xml:space="preserve">- Cross-border enforcement challenges</w:t>
      </w:r>
      <w:r>
        <w:t xml:space="preserve"> </w:t>
      </w:r>
      <w:r>
        <w:t xml:space="preserve">- International harmonization lacking</w:t>
      </w:r>
    </w:p>
    <w:p>
      <w:pPr>
        <w:pStyle w:val="BodyText"/>
      </w:pPr>
      <w:r>
        <w:t xml:space="preserve">❌</w:t>
      </w:r>
      <w:r>
        <w:t xml:space="preserve"> </w:t>
      </w:r>
      <w:r>
        <w:rPr>
          <w:bCs/>
          <w:b/>
        </w:rPr>
        <w:t xml:space="preserve">Islamic Finance Ambiguity</w:t>
      </w:r>
      <w:r>
        <w:t xml:space="preserve"> </w:t>
      </w:r>
      <w:r>
        <w:t xml:space="preserve">- Sharia compliance framework for digital assets still developing</w:t>
      </w:r>
      <w:r>
        <w:t xml:space="preserve"> </w:t>
      </w:r>
      <w:r>
        <w:t xml:space="preserve">- Potential for conflicting guidance between BNM and DSN-MUI</w:t>
      </w:r>
      <w:r>
        <w:t xml:space="preserve"> </w:t>
      </w:r>
      <w:r>
        <w:t xml:space="preserve">- Limited precedent for Islamic stablecoin and token regulation</w:t>
      </w:r>
      <w:r>
        <w:t xml:space="preserve"> </w:t>
      </w:r>
      <w:r>
        <w:t xml:space="preserve">- Evolution and adaptation likely needed</w:t>
      </w:r>
    </w:p>
    <w:bookmarkEnd w:id="229"/>
    <w:bookmarkStart w:id="230" w:name="market-impact-and-development"/>
    <w:p>
      <w:pPr>
        <w:pStyle w:val="Heading3"/>
      </w:pPr>
      <w:r>
        <w:t xml:space="preserve">4.2.6 Market Impact and Development</w:t>
      </w:r>
    </w:p>
    <w:p>
      <w:pPr>
        <w:pStyle w:val="FirstParagraph"/>
      </w:pPr>
      <w:r>
        <w:rPr>
          <w:bCs/>
          <w:b/>
        </w:rPr>
        <w:t xml:space="preserve">Market Effects:</w:t>
      </w:r>
    </w:p>
    <w:p>
      <w:pPr>
        <w:pStyle w:val="BodyText"/>
      </w:pPr>
      <w:r>
        <w:t xml:space="preserve">Malaysia’s recognition approach has resulted in:</w:t>
      </w:r>
      <w:r>
        <w:t xml:space="preserve"> </w:t>
      </w:r>
      <w:r>
        <w:t xml:space="preserve">- Significant cryptocurrency exchange development</w:t>
      </w:r>
      <w:r>
        <w:t xml:space="preserve"> </w:t>
      </w:r>
      <w:r>
        <w:t xml:space="preserve">- Emerging fintech and blockchain innovation ecosystem</w:t>
      </w:r>
      <w:r>
        <w:t xml:space="preserve"> </w:t>
      </w:r>
      <w:r>
        <w:t xml:space="preserve">- Institutional cryptocurrency participation growing</w:t>
      </w:r>
      <w:r>
        <w:t xml:space="preserve"> </w:t>
      </w:r>
      <w:r>
        <w:t xml:space="preserve">- Regional attraction of crypto and fintech talent</w:t>
      </w:r>
      <w:r>
        <w:t xml:space="preserve"> </w:t>
      </w:r>
      <w:r>
        <w:t xml:space="preserve">- Positioning as regional fintech hub</w:t>
      </w:r>
    </w:p>
    <w:p>
      <w:pPr>
        <w:pStyle w:val="BodyText"/>
      </w:pPr>
      <w:r>
        <w:rPr>
          <w:bCs/>
          <w:b/>
        </w:rPr>
        <w:t xml:space="preserve">Notable Developments:</w:t>
      </w:r>
      <w:r>
        <w:t xml:space="preserve"> </w:t>
      </w:r>
      <w:r>
        <w:t xml:space="preserve">- Major cryptocurrency exchange licensing</w:t>
      </w:r>
      <w:r>
        <w:t xml:space="preserve"> </w:t>
      </w:r>
      <w:r>
        <w:t xml:space="preserve">- Islamic stablecoin projects (e.g., Ethereum-based Islamic finance tokens)</w:t>
      </w:r>
      <w:r>
        <w:t xml:space="preserve"> </w:t>
      </w:r>
      <w:r>
        <w:t xml:space="preserve">- Blockchain innovation in trade finance and Islamic banking</w:t>
      </w:r>
      <w:r>
        <w:t xml:space="preserve"> </w:t>
      </w:r>
      <w:r>
        <w:t xml:space="preserve">- Cross-border Islamic payment system pilots</w:t>
      </w:r>
    </w:p>
    <w:p>
      <w:r>
        <w:pict>
          <v:rect style="width:0;height:1.5pt" o:hralign="center" o:hrstd="t" o:hr="t"/>
        </w:pict>
      </w:r>
    </w:p>
    <w:bookmarkEnd w:id="230"/>
    <w:bookmarkEnd w:id="231"/>
    <w:bookmarkStart w:id="239" w:name="X04e5d2f8254893749efdd310390d88703d13658"/>
    <w:p>
      <w:pPr>
        <w:pStyle w:val="Heading2"/>
      </w:pPr>
      <w:r>
        <w:t xml:space="preserve">4.3 Saudi Arabia: SAMA Restrictive Regulatory Approach</w:t>
      </w:r>
    </w:p>
    <w:bookmarkStart w:id="232" w:name="saudi-arabian-financial-context"/>
    <w:p>
      <w:pPr>
        <w:pStyle w:val="Heading3"/>
      </w:pPr>
      <w:r>
        <w:t xml:space="preserve">4.3.1 Saudi Arabian Financial Context</w:t>
      </w:r>
    </w:p>
    <w:p>
      <w:pPr>
        <w:pStyle w:val="FirstParagraph"/>
      </w:pPr>
      <w:r>
        <w:rPr>
          <w:bCs/>
          <w:b/>
        </w:rPr>
        <w:t xml:space="preserve">Market Overview:</w:t>
      </w:r>
      <w:r>
        <w:t xml:space="preserve"> </w:t>
      </w:r>
      <w:r>
        <w:t xml:space="preserve">Saudi Arabia, home to Islam’s holiest cities and headquarters of major Islamic finance institutions (AAOIFI), represents major Islamic financial center. SAMA (Saudi Arabian Monetary Authority) takes particularly cautious approach to cryptocurrency.</w:t>
      </w:r>
    </w:p>
    <w:p>
      <w:pPr>
        <w:pStyle w:val="BodyText"/>
      </w:pPr>
      <w:r>
        <w:rPr>
          <w:bCs/>
          <w:b/>
        </w:rPr>
        <w:t xml:space="preserve">Islamic Finance Market:</w:t>
      </w:r>
      <w:r>
        <w:t xml:space="preserve"> </w:t>
      </w:r>
      <w:r>
        <w:t xml:space="preserve">- Major regional Islamic banking center</w:t>
      </w:r>
      <w:r>
        <w:t xml:space="preserve"> </w:t>
      </w:r>
      <w:r>
        <w:t xml:space="preserve">- Home to AAOIFI headquarters</w:t>
      </w:r>
      <w:r>
        <w:t xml:space="preserve"> </w:t>
      </w:r>
      <w:r>
        <w:t xml:space="preserve">- Significant Islamic finance regulatory influence</w:t>
      </w:r>
      <w:r>
        <w:t xml:space="preserve"> </w:t>
      </w:r>
      <w:r>
        <w:t xml:space="preserve">- Islamic finance innovation center for GCC</w:t>
      </w:r>
    </w:p>
    <w:p>
      <w:pPr>
        <w:pStyle w:val="BodyText"/>
      </w:pPr>
      <w:r>
        <w:rPr>
          <w:bCs/>
          <w:b/>
        </w:rPr>
        <w:t xml:space="preserve">Cryptocurrency Market:</w:t>
      </w:r>
      <w:r>
        <w:t xml:space="preserve"> </w:t>
      </w:r>
      <w:r>
        <w:t xml:space="preserve">- Limited retail cryptocurrency participation</w:t>
      </w:r>
      <w:r>
        <w:t xml:space="preserve"> </w:t>
      </w:r>
      <w:r>
        <w:t xml:space="preserve">- Institutional cryptocurrency activity restricted</w:t>
      </w:r>
      <w:r>
        <w:t xml:space="preserve"> </w:t>
      </w:r>
      <w:r>
        <w:t xml:space="preserve">- Government focus on controlling capital flows</w:t>
      </w:r>
      <w:r>
        <w:t xml:space="preserve"> </w:t>
      </w:r>
      <w:r>
        <w:t xml:space="preserve">- Concern with speculation and financial stability</w:t>
      </w:r>
    </w:p>
    <w:bookmarkEnd w:id="232"/>
    <w:bookmarkStart w:id="233" w:name="X15dc80a8c19e3a261976d0c31bb686a1e804de2"/>
    <w:p>
      <w:pPr>
        <w:pStyle w:val="Heading3"/>
      </w:pPr>
      <w:r>
        <w:t xml:space="preserve">4.3.2 Regulatory Framework: SAMA Digital Assets Policy (2023)</w:t>
      </w:r>
    </w:p>
    <w:p>
      <w:pPr>
        <w:pStyle w:val="FirstParagraph"/>
      </w:pPr>
      <w:r>
        <w:rPr>
          <w:bCs/>
          <w:b/>
        </w:rPr>
        <w:t xml:space="preserve">Official Policy:</w:t>
      </w:r>
      <w:r>
        <w:t xml:space="preserve"> </w:t>
      </w:r>
      <w:r>
        <w:t xml:space="preserve">The Saudi Arabian Monetary Authority (SAMA) issued Digital Assets Framework in 2023, establishing restrictive regulatory approach toward cryptocurrency.</w:t>
      </w:r>
    </w:p>
    <w:p>
      <w:pPr>
        <w:pStyle w:val="BodyText"/>
      </w:pPr>
      <w:r>
        <w:rPr>
          <w:bCs/>
          <w:b/>
        </w:rPr>
        <w:t xml:space="preserve">Regulatory Approach: Restricted Recognition</w:t>
      </w:r>
    </w:p>
    <w:p>
      <w:pPr>
        <w:pStyle w:val="SourceCode"/>
      </w:pPr>
      <w:r>
        <w:rPr>
          <w:rStyle w:val="VerbatimChar"/>
        </w:rPr>
        <w:t xml:space="preserve">SAUDI ARABIAN CRYPTOCURRENCY STATUS</w:t>
      </w:r>
      <w:r>
        <w:br/>
      </w:r>
      <w:r>
        <w:rPr>
          <w:rStyle w:val="VerbatimChar"/>
        </w:rPr>
        <w:t xml:space="preserve">═════════════════════════════════════════════════════════════</w:t>
      </w:r>
      <w:r>
        <w:br/>
      </w:r>
      <w:r>
        <w:br/>
      </w:r>
      <w:r>
        <w:rPr>
          <w:rStyle w:val="VerbatimChar"/>
        </w:rPr>
        <w:t xml:space="preserve">PROHIBITED ACTIVITIES:</w:t>
      </w:r>
      <w:r>
        <w:br/>
      </w:r>
      <w:r>
        <w:rPr>
          <w:rStyle w:val="VerbatimChar"/>
        </w:rPr>
        <w:t xml:space="preserve">├─ Cryptocurrency trading by individuals</w:t>
      </w:r>
      <w:r>
        <w:br/>
      </w:r>
      <w:r>
        <w:rPr>
          <w:rStyle w:val="VerbatimChar"/>
        </w:rPr>
        <w:t xml:space="preserve">├─ Cryptocurrency mining</w:t>
      </w:r>
      <w:r>
        <w:br/>
      </w:r>
      <w:r>
        <w:rPr>
          <w:rStyle w:val="VerbatimChar"/>
        </w:rPr>
        <w:t xml:space="preserve">├─ Cryptocurrency exchange operations</w:t>
      </w:r>
      <w:r>
        <w:br/>
      </w:r>
      <w:r>
        <w:rPr>
          <w:rStyle w:val="VerbatimChar"/>
        </w:rPr>
        <w:t xml:space="preserve">├─ Cryptocurrency investment products</w:t>
      </w:r>
      <w:r>
        <w:br/>
      </w:r>
      <w:r>
        <w:rPr>
          <w:rStyle w:val="VerbatimChar"/>
        </w:rPr>
        <w:t xml:space="preserve">└─ Over-the-counter cryptocurrency transactions</w:t>
      </w:r>
      <w:r>
        <w:br/>
      </w:r>
      <w:r>
        <w:br/>
      </w:r>
      <w:r>
        <w:rPr>
          <w:rStyle w:val="VerbatimChar"/>
        </w:rPr>
        <w:t xml:space="preserve">LIMITED RECOGNITION:</w:t>
      </w:r>
      <w:r>
        <w:br/>
      </w:r>
      <w:r>
        <w:rPr>
          <w:rStyle w:val="VerbatimChar"/>
        </w:rPr>
        <w:t xml:space="preserve">├─ Blockchain technology for legitimate purposes</w:t>
      </w:r>
      <w:r>
        <w:br/>
      </w:r>
      <w:r>
        <w:rPr>
          <w:rStyle w:val="VerbatimChar"/>
        </w:rPr>
        <w:t xml:space="preserve">├─ Central bank digital currency (CBDC) development</w:t>
      </w:r>
      <w:r>
        <w:br/>
      </w:r>
      <w:r>
        <w:rPr>
          <w:rStyle w:val="VerbatimChar"/>
        </w:rPr>
        <w:t xml:space="preserve">├─ International settlement experiments</w:t>
      </w:r>
      <w:r>
        <w:br/>
      </w:r>
      <w:r>
        <w:rPr>
          <w:rStyle w:val="VerbatimChar"/>
        </w:rPr>
        <w:t xml:space="preserve">└─ Research and development activities</w:t>
      </w:r>
      <w:r>
        <w:br/>
      </w:r>
      <w:r>
        <w:br/>
      </w:r>
      <w:r>
        <w:rPr>
          <w:rStyle w:val="VerbatimChar"/>
        </w:rPr>
        <w:t xml:space="preserve">REGULATORY FRAMEWORK:</w:t>
      </w:r>
      <w:r>
        <w:br/>
      </w:r>
      <w:r>
        <w:rPr>
          <w:rStyle w:val="VerbatimChar"/>
        </w:rPr>
        <w:t xml:space="preserve">├─ No licensing for cryptocurrency exchanges</w:t>
      </w:r>
      <w:r>
        <w:br/>
      </w:r>
      <w:r>
        <w:rPr>
          <w:rStyle w:val="VerbatimChar"/>
        </w:rPr>
        <w:t xml:space="preserve">├─ No cryptocurrency trading platforms permitted</w:t>
      </w:r>
      <w:r>
        <w:br/>
      </w:r>
      <w:r>
        <w:rPr>
          <w:rStyle w:val="VerbatimChar"/>
        </w:rPr>
        <w:t xml:space="preserve">├─ International cryptocurrency platform access restricted</w:t>
      </w:r>
      <w:r>
        <w:br/>
      </w:r>
      <w:r>
        <w:rPr>
          <w:rStyle w:val="VerbatimChar"/>
        </w:rPr>
        <w:t xml:space="preserve">├─ Capital controls limit cryptocurrency flows</w:t>
      </w:r>
      <w:r>
        <w:br/>
      </w:r>
      <w:r>
        <w:rPr>
          <w:rStyle w:val="VerbatimChar"/>
        </w:rPr>
        <w:t xml:space="preserve">└─ Penalties for unauthorized cryptocurrency activities</w:t>
      </w:r>
      <w:r>
        <w:br/>
      </w:r>
      <w:r>
        <w:br/>
      </w:r>
      <w:r>
        <w:rPr>
          <w:rStyle w:val="VerbatimChar"/>
        </w:rPr>
        <w:t xml:space="preserve">═════════════════════════════════════════════════════════════</w:t>
      </w:r>
    </w:p>
    <w:p>
      <w:pPr>
        <w:pStyle w:val="FirstParagraph"/>
      </w:pPr>
      <w:r>
        <w:rPr>
          <w:bCs/>
          <w:b/>
        </w:rPr>
        <w:t xml:space="preserve">Key Characteristic:</w:t>
      </w:r>
      <w:r>
        <w:t xml:space="preserve"> </w:t>
      </w:r>
      <w:r>
        <w:t xml:space="preserve">Saudi Arabia maintains de facto cryptocurrency prohibition, recognizing only limited blockchain technology applications.</w:t>
      </w:r>
    </w:p>
    <w:bookmarkEnd w:id="233"/>
    <w:bookmarkStart w:id="234" w:name="samas-explicit-positions"/>
    <w:p>
      <w:pPr>
        <w:pStyle w:val="Heading3"/>
      </w:pPr>
      <w:r>
        <w:t xml:space="preserve">4.3.3 SAMA’s Explicit Positions</w:t>
      </w:r>
    </w:p>
    <w:p>
      <w:pPr>
        <w:pStyle w:val="FirstParagraph"/>
      </w:pPr>
      <w:r>
        <w:rPr>
          <w:bCs/>
          <w:b/>
        </w:rPr>
        <w:t xml:space="preserve">Official Statements on Cryptocurrency:</w:t>
      </w:r>
    </w:p>
    <w:p>
      <w:pPr>
        <w:pStyle w:val="BodyText"/>
      </w:pPr>
      <w:r>
        <w:t xml:space="preserve">SAMA has issued clear guidance on cryptocurrency status:</w:t>
      </w:r>
    </w:p>
    <w:p>
      <w:pPr>
        <w:pStyle w:val="BodyText"/>
      </w:pPr>
      <w:r>
        <w:rPr>
          <w:bCs/>
          <w:b/>
        </w:rPr>
        <w:t xml:space="preserve">1. Prohibition of Cryptocurrency Trading</w:t>
      </w:r>
      <w:r>
        <w:t xml:space="preserve"> </w:t>
      </w:r>
      <w:r>
        <w:t xml:space="preserve">“</w:t>
      </w:r>
      <w:r>
        <w:t xml:space="preserve">Cryptocurrency trading is prohibited in Saudi Arabia. Individuals and institutions are prohibited from buying, selling, or trading digital currencies.</w:t>
      </w:r>
      <w:r>
        <w:t xml:space="preserve">”</w:t>
      </w:r>
    </w:p>
    <w:p>
      <w:pPr>
        <w:pStyle w:val="BodyText"/>
      </w:pPr>
      <w:r>
        <w:rPr>
          <w:bCs/>
          <w:b/>
        </w:rPr>
        <w:t xml:space="preserve">2. Prohibition of Cryptocurrency Exchange Operations</w:t>
      </w:r>
      <w:r>
        <w:t xml:space="preserve"> </w:t>
      </w:r>
      <w:r>
        <w:t xml:space="preserve">“</w:t>
      </w:r>
      <w:r>
        <w:t xml:space="preserve">No entity is permitted to operate a cryptocurrency exchange or provide cryptocurrency trading services within Saudi Arabia.</w:t>
      </w:r>
      <w:r>
        <w:t xml:space="preserve">”</w:t>
      </w:r>
    </w:p>
    <w:p>
      <w:pPr>
        <w:pStyle w:val="BodyText"/>
      </w:pPr>
      <w:r>
        <w:rPr>
          <w:bCs/>
          <w:b/>
        </w:rPr>
        <w:t xml:space="preserve">3. Prohibition of Cryptocurrency Investment Products</w:t>
      </w:r>
      <w:r>
        <w:t xml:space="preserve"> </w:t>
      </w:r>
      <w:r>
        <w:t xml:space="preserve">“</w:t>
      </w:r>
      <w:r>
        <w:t xml:space="preserve">Financial institutions, including Islamic banks, are prohibited from offering cryptocurrency or cryptocurrency-based investment products.</w:t>
      </w:r>
      <w:r>
        <w:t xml:space="preserve">”</w:t>
      </w:r>
    </w:p>
    <w:p>
      <w:pPr>
        <w:pStyle w:val="BodyText"/>
      </w:pPr>
      <w:r>
        <w:rPr>
          <w:bCs/>
          <w:b/>
        </w:rPr>
        <w:t xml:space="preserve">4. Capital Controls</w:t>
      </w:r>
      <w:r>
        <w:t xml:space="preserve"> </w:t>
      </w:r>
      <w:r>
        <w:t xml:space="preserve">“</w:t>
      </w:r>
      <w:r>
        <w:t xml:space="preserve">Transfers of value outside Saudi Arabia for cryptocurrency purposes are restricted and prohibited.</w:t>
      </w:r>
      <w:r>
        <w:t xml:space="preserve">”</w:t>
      </w:r>
    </w:p>
    <w:p>
      <w:pPr>
        <w:pStyle w:val="BodyText"/>
      </w:pPr>
      <w:r>
        <w:rPr>
          <w:bCs/>
          <w:b/>
        </w:rPr>
        <w:t xml:space="preserve">Practical Effect:</w:t>
      </w:r>
      <w:r>
        <w:t xml:space="preserve"> </w:t>
      </w:r>
      <w:r>
        <w:t xml:space="preserve">Saudis cannot legally:</w:t>
      </w:r>
      <w:r>
        <w:t xml:space="preserve"> </w:t>
      </w:r>
      <w:r>
        <w:t xml:space="preserve">- Trade cryptocurrency on licensed platforms</w:t>
      </w:r>
      <w:r>
        <w:t xml:space="preserve"> </w:t>
      </w:r>
      <w:r>
        <w:t xml:space="preserve">- Use domestic financial services for cryptocurrency</w:t>
      </w:r>
      <w:r>
        <w:t xml:space="preserve"> </w:t>
      </w:r>
      <w:r>
        <w:t xml:space="preserve">- Access cryptocurrency exchanges without VPN/offshore access</w:t>
      </w:r>
      <w:r>
        <w:t xml:space="preserve"> </w:t>
      </w:r>
      <w:r>
        <w:t xml:space="preserve">- Invest in cryptocurrency funds through financial institutions</w:t>
      </w:r>
    </w:p>
    <w:bookmarkEnd w:id="234"/>
    <w:bookmarkStart w:id="235" w:name="rationale-for-restrictive-approach"/>
    <w:p>
      <w:pPr>
        <w:pStyle w:val="Heading3"/>
      </w:pPr>
      <w:r>
        <w:t xml:space="preserve">4.3.4 Rationale for Restrictive Approach</w:t>
      </w:r>
    </w:p>
    <w:p>
      <w:pPr>
        <w:pStyle w:val="FirstParagraph"/>
      </w:pPr>
      <w:r>
        <w:rPr>
          <w:bCs/>
          <w:b/>
        </w:rPr>
        <w:t xml:space="preserve">SAMA’s Stated Concerns:</w:t>
      </w:r>
    </w:p>
    <w:p>
      <w:pPr>
        <w:pStyle w:val="BodyText"/>
      </w:pPr>
      <w:r>
        <w:rPr>
          <w:bCs/>
          <w:b/>
        </w:rPr>
        <w:t xml:space="preserve">1. Financial Stability Risk</w:t>
      </w:r>
      <w:r>
        <w:t xml:space="preserve"> </w:t>
      </w:r>
      <w:r>
        <w:t xml:space="preserve">- Cryptocurrency volatility threatens financial system stability</w:t>
      </w:r>
      <w:r>
        <w:t xml:space="preserve"> </w:t>
      </w:r>
      <w:r>
        <w:t xml:space="preserve">- Large-scale speculation risks systemic instability</w:t>
      </w:r>
      <w:r>
        <w:t xml:space="preserve"> </w:t>
      </w:r>
      <w:r>
        <w:t xml:space="preserve">- Retail investor participation creates leverage and contagion risks</w:t>
      </w:r>
      <w:r>
        <w:t xml:space="preserve"> </w:t>
      </w:r>
      <w:r>
        <w:t xml:space="preserve">- Foreign exchange market impacts from capital flows</w:t>
      </w:r>
    </w:p>
    <w:p>
      <w:pPr>
        <w:pStyle w:val="BodyText"/>
      </w:pPr>
      <w:r>
        <w:rPr>
          <w:bCs/>
          <w:b/>
        </w:rPr>
        <w:t xml:space="preserve">2. Consumer Protection</w:t>
      </w:r>
      <w:r>
        <w:t xml:space="preserve"> </w:t>
      </w:r>
      <w:r>
        <w:t xml:space="preserve">- Retail investors vulnerable to manipulation and fraud</w:t>
      </w:r>
      <w:r>
        <w:t xml:space="preserve"> </w:t>
      </w:r>
      <w:r>
        <w:t xml:space="preserve">- Limited investor sophistication regarding cryptocurrency</w:t>
      </w:r>
      <w:r>
        <w:t xml:space="preserve"> </w:t>
      </w:r>
      <w:r>
        <w:t xml:space="preserve">- High loss risk for ordinary investors</w:t>
      </w:r>
      <w:r>
        <w:t xml:space="preserve"> </w:t>
      </w:r>
      <w:r>
        <w:t xml:space="preserve">- Market manipulation and insider trading prevalent</w:t>
      </w:r>
    </w:p>
    <w:p>
      <w:pPr>
        <w:pStyle w:val="BodyText"/>
      </w:pPr>
      <w:r>
        <w:rPr>
          <w:bCs/>
          <w:b/>
        </w:rPr>
        <w:t xml:space="preserve">3. Monetary Policy Control</w:t>
      </w:r>
      <w:r>
        <w:t xml:space="preserve"> </w:t>
      </w:r>
      <w:r>
        <w:t xml:space="preserve">- Cryptocurrency threatens central bank monetary policy effectiveness</w:t>
      </w:r>
      <w:r>
        <w:t xml:space="preserve"> </w:t>
      </w:r>
      <w:r>
        <w:t xml:space="preserve">- Capital substitution for fiat currency undermines policy transmission</w:t>
      </w:r>
      <w:r>
        <w:t xml:space="preserve"> </w:t>
      </w:r>
      <w:r>
        <w:t xml:space="preserve">- Capital flight risks through cryptocurrency channels</w:t>
      </w:r>
      <w:r>
        <w:t xml:space="preserve"> </w:t>
      </w:r>
      <w:r>
        <w:t xml:space="preserve">- Difficulty controlling money supply with cryptocurrency alternatives</w:t>
      </w:r>
    </w:p>
    <w:p>
      <w:pPr>
        <w:pStyle w:val="BodyText"/>
      </w:pPr>
      <w:r>
        <w:rPr>
          <w:bCs/>
          <w:b/>
        </w:rPr>
        <w:t xml:space="preserve">4. Sharia Compliance Concerns</w:t>
      </w:r>
      <w:r>
        <w:t xml:space="preserve"> </w:t>
      </w:r>
      <w:r>
        <w:t xml:space="preserve">- Alignment with stringent AAOIFI position</w:t>
      </w:r>
      <w:r>
        <w:t xml:space="preserve"> </w:t>
      </w:r>
      <w:r>
        <w:t xml:space="preserve">- Concern with speculative gambling (maisir) characteristics</w:t>
      </w:r>
      <w:r>
        <w:t xml:space="preserve"> </w:t>
      </w:r>
      <w:r>
        <w:t xml:space="preserve">- Lack of intrinsic value violating Islamic principles</w:t>
      </w:r>
      <w:r>
        <w:t xml:space="preserve"> </w:t>
      </w:r>
      <w:r>
        <w:t xml:space="preserve">- Gharar (uncertainty) regarding future value and utility</w:t>
      </w:r>
    </w:p>
    <w:p>
      <w:pPr>
        <w:pStyle w:val="BodyText"/>
      </w:pPr>
      <w:r>
        <w:rPr>
          <w:bCs/>
          <w:b/>
        </w:rPr>
        <w:t xml:space="preserve">5. AML/CFT and Sanctions Compliance</w:t>
      </w:r>
      <w:r>
        <w:t xml:space="preserve"> </w:t>
      </w:r>
      <w:r>
        <w:t xml:space="preserve">- Cryptocurrency use in illegal activities</w:t>
      </w:r>
      <w:r>
        <w:t xml:space="preserve"> </w:t>
      </w:r>
      <w:r>
        <w:t xml:space="preserve">- Difficulty monitoring illicit financial flows</w:t>
      </w:r>
      <w:r>
        <w:t xml:space="preserve"> </w:t>
      </w:r>
      <w:r>
        <w:t xml:space="preserve">- Sanctions evasion risk through cryptocurrency</w:t>
      </w:r>
      <w:r>
        <w:t xml:space="preserve"> </w:t>
      </w:r>
      <w:r>
        <w:t xml:space="preserve">- Money laundering facilitation concerns</w:t>
      </w:r>
    </w:p>
    <w:bookmarkEnd w:id="235"/>
    <w:bookmarkStart w:id="236" w:name="cbdc-alternative-approach"/>
    <w:p>
      <w:pPr>
        <w:pStyle w:val="Heading3"/>
      </w:pPr>
      <w:r>
        <w:t xml:space="preserve">4.3.5 CBDC Alternative Approach</w:t>
      </w:r>
    </w:p>
    <w:p>
      <w:pPr>
        <w:pStyle w:val="FirstParagraph"/>
      </w:pPr>
      <w:r>
        <w:rPr>
          <w:bCs/>
          <w:b/>
        </w:rPr>
        <w:t xml:space="preserve">Instead of Cryptocurrency Permission:</w:t>
      </w:r>
    </w:p>
    <w:p>
      <w:pPr>
        <w:pStyle w:val="BodyText"/>
      </w:pPr>
      <w:r>
        <w:t xml:space="preserve">Saudi Arabia has prioritized Central Bank Digital Currency (CBDC) development:</w:t>
      </w:r>
    </w:p>
    <w:p>
      <w:pPr>
        <w:pStyle w:val="BodyText"/>
      </w:pPr>
      <w:r>
        <w:rPr>
          <w:bCs/>
          <w:b/>
        </w:rPr>
        <w:t xml:space="preserve">Rial Digital Project:</w:t>
      </w:r>
      <w:r>
        <w:t xml:space="preserve"> </w:t>
      </w:r>
      <w:r>
        <w:t xml:space="preserve">- Saudi Arabia developing official digital currency</w:t>
      </w:r>
      <w:r>
        <w:t xml:space="preserve"> </w:t>
      </w:r>
      <w:r>
        <w:t xml:space="preserve">- State-controlled, monitored alternative to private cryptocurrency</w:t>
      </w:r>
      <w:r>
        <w:t xml:space="preserve"> </w:t>
      </w:r>
      <w:r>
        <w:t xml:space="preserve">- Maintains government monetary control</w:t>
      </w:r>
      <w:r>
        <w:t xml:space="preserve"> </w:t>
      </w:r>
      <w:r>
        <w:t xml:space="preserve">- Provides technological benefits without risks</w:t>
      </w:r>
    </w:p>
    <w:p>
      <w:pPr>
        <w:pStyle w:val="BodyText"/>
      </w:pPr>
      <w:r>
        <w:rPr>
          <w:bCs/>
          <w:b/>
        </w:rPr>
        <w:t xml:space="preserve">Advantages Over Cryptocurrency (per SAMA):</w:t>
      </w:r>
      <w:r>
        <w:t xml:space="preserve"> </w:t>
      </w:r>
      <w:r>
        <w:t xml:space="preserve">- Government backing and stability</w:t>
      </w:r>
      <w:r>
        <w:t xml:space="preserve"> </w:t>
      </w:r>
      <w:r>
        <w:t xml:space="preserve">- Full compliance with Islamic financial principles</w:t>
      </w:r>
      <w:r>
        <w:t xml:space="preserve"> </w:t>
      </w:r>
      <w:r>
        <w:t xml:space="preserve">- Monetary policy control maintained</w:t>
      </w:r>
      <w:r>
        <w:t xml:space="preserve"> </w:t>
      </w:r>
      <w:r>
        <w:t xml:space="preserve">- Fraud and manipulation prevention</w:t>
      </w:r>
      <w:r>
        <w:t xml:space="preserve"> </w:t>
      </w:r>
      <w:r>
        <w:t xml:space="preserve">- Clear legal status and property rights</w:t>
      </w:r>
    </w:p>
    <w:p>
      <w:pPr>
        <w:pStyle w:val="BodyText"/>
      </w:pPr>
      <w:r>
        <w:rPr>
          <w:bCs/>
          <w:b/>
        </w:rPr>
        <w:t xml:space="preserve">International Cooperation:</w:t>
      </w:r>
      <w:r>
        <w:t xml:space="preserve"> </w:t>
      </w:r>
      <w:r>
        <w:t xml:space="preserve">Saudi Arabia participating in international CBDC experiments:</w:t>
      </w:r>
      <w:r>
        <w:t xml:space="preserve"> </w:t>
      </w:r>
      <w:r>
        <w:t xml:space="preserve">- Project Mbridge (Saudi Arabia, UAE, Hong Kong, Thailand CBDCs)</w:t>
      </w:r>
      <w:r>
        <w:t xml:space="preserve"> </w:t>
      </w:r>
      <w:r>
        <w:t xml:space="preserve">- Cross-border settlement experimentation</w:t>
      </w:r>
      <w:r>
        <w:t xml:space="preserve"> </w:t>
      </w:r>
      <w:r>
        <w:t xml:space="preserve">- Islamic finance CBDC applications research</w:t>
      </w:r>
    </w:p>
    <w:bookmarkEnd w:id="236"/>
    <w:bookmarkStart w:id="237" w:name="assessment-strengths-and-weaknesses-2"/>
    <w:p>
      <w:pPr>
        <w:pStyle w:val="Heading3"/>
      </w:pPr>
      <w:r>
        <w:t xml:space="preserve">4.3.6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Financial Stability Protection</w:t>
      </w:r>
      <w:r>
        <w:t xml:space="preserve"> </w:t>
      </w:r>
      <w:r>
        <w:t xml:space="preserve">- Restrictive approach reduces systemic risks</w:t>
      </w:r>
      <w:r>
        <w:t xml:space="preserve"> </w:t>
      </w:r>
      <w:r>
        <w:t xml:space="preserve">- Limits retail investor speculation</w:t>
      </w:r>
      <w:r>
        <w:t xml:space="preserve"> </w:t>
      </w:r>
      <w:r>
        <w:t xml:space="preserve">- Controls capital outflows</w:t>
      </w:r>
      <w:r>
        <w:t xml:space="preserve"> </w:t>
      </w:r>
      <w:r>
        <w:t xml:space="preserve">- Maintains domestic financial system stability</w:t>
      </w:r>
    </w:p>
    <w:p>
      <w:pPr>
        <w:pStyle w:val="BodyText"/>
      </w:pPr>
      <w:r>
        <w:t xml:space="preserve">✅</w:t>
      </w:r>
      <w:r>
        <w:t xml:space="preserve"> </w:t>
      </w:r>
      <w:r>
        <w:rPr>
          <w:bCs/>
          <w:b/>
        </w:rPr>
        <w:t xml:space="preserve">Consumer Protection</w:t>
      </w:r>
      <w:r>
        <w:t xml:space="preserve"> </w:t>
      </w:r>
      <w:r>
        <w:t xml:space="preserve">- Eliminates retail investor exposure to cryptocurrency risks</w:t>
      </w:r>
      <w:r>
        <w:t xml:space="preserve"> </w:t>
      </w:r>
      <w:r>
        <w:t xml:space="preserve">- Prevents fraud and manipulation victimization</w:t>
      </w:r>
      <w:r>
        <w:t xml:space="preserve"> </w:t>
      </w:r>
      <w:r>
        <w:t xml:space="preserve">- Avoids speculation-driven financial hardship</w:t>
      </w:r>
      <w:r>
        <w:t xml:space="preserve"> </w:t>
      </w:r>
      <w:r>
        <w:t xml:space="preserve">- Clear regulatory certainty (prohibition is unambiguous)</w:t>
      </w:r>
    </w:p>
    <w:p>
      <w:pPr>
        <w:pStyle w:val="BodyText"/>
      </w:pPr>
      <w:r>
        <w:t xml:space="preserve">✅</w:t>
      </w:r>
      <w:r>
        <w:t xml:space="preserve"> </w:t>
      </w:r>
      <w:r>
        <w:rPr>
          <w:bCs/>
          <w:b/>
        </w:rPr>
        <w:t xml:space="preserve">Islamic Principle Alignment</w:t>
      </w:r>
      <w:r>
        <w:t xml:space="preserve"> </w:t>
      </w:r>
      <w:r>
        <w:t xml:space="preserve">- Strict approach aligned with stringent Islamic positions (Dar al-Ifta)</w:t>
      </w:r>
      <w:r>
        <w:t xml:space="preserve"> </w:t>
      </w:r>
      <w:r>
        <w:t xml:space="preserve">- Prevents speculative gambling (maisir)</w:t>
      </w:r>
      <w:r>
        <w:t xml:space="preserve"> </w:t>
      </w:r>
      <w:r>
        <w:t xml:space="preserve">- Eliminates gharar (uncertainty) in financial system</w:t>
      </w:r>
      <w:r>
        <w:t xml:space="preserve"> </w:t>
      </w:r>
      <w:r>
        <w:t xml:space="preserve">- Maintains Islamic financial system purity</w:t>
      </w:r>
    </w:p>
    <w:p>
      <w:pPr>
        <w:pStyle w:val="BodyText"/>
      </w:pPr>
      <w:r>
        <w:t xml:space="preserve">✅</w:t>
      </w:r>
      <w:r>
        <w:t xml:space="preserve"> </w:t>
      </w:r>
      <w:r>
        <w:rPr>
          <w:bCs/>
          <w:b/>
        </w:rPr>
        <w:t xml:space="preserve">Capital Control Maintenance</w:t>
      </w:r>
      <w:r>
        <w:t xml:space="preserve"> </w:t>
      </w:r>
      <w:r>
        <w:t xml:space="preserve">- Maintains government control of capital flows</w:t>
      </w:r>
      <w:r>
        <w:t xml:space="preserve"> </w:t>
      </w:r>
      <w:r>
        <w:t xml:space="preserve">- Prevents capital flight through cryptocurrency</w:t>
      </w:r>
      <w:r>
        <w:t xml:space="preserve"> </w:t>
      </w:r>
      <w:r>
        <w:t xml:space="preserve">- Preserves monetary policy effectiveness</w:t>
      </w:r>
      <w:r>
        <w:t xml:space="preserve"> </w:t>
      </w:r>
      <w:r>
        <w:t xml:space="preserve">- Maintains foreign exchange control</w:t>
      </w:r>
    </w:p>
    <w:p>
      <w:pPr>
        <w:pStyle w:val="BodyText"/>
      </w:pPr>
      <w:r>
        <w:rPr>
          <w:bCs/>
          <w:b/>
        </w:rPr>
        <w:t xml:space="preserve">Regulatory Weaknesses:</w:t>
      </w:r>
    </w:p>
    <w:p>
      <w:pPr>
        <w:pStyle w:val="BodyText"/>
      </w:pPr>
      <w:r>
        <w:t xml:space="preserve">❌</w:t>
      </w:r>
      <w:r>
        <w:t xml:space="preserve"> </w:t>
      </w:r>
      <w:r>
        <w:rPr>
          <w:bCs/>
          <w:b/>
        </w:rPr>
        <w:t xml:space="preserve">Innovation Suppression</w:t>
      </w:r>
      <w:r>
        <w:t xml:space="preserve"> </w:t>
      </w:r>
      <w:r>
        <w:t xml:space="preserve">- Eliminates legitimate blockchain applications</w:t>
      </w:r>
      <w:r>
        <w:t xml:space="preserve"> </w:t>
      </w:r>
      <w:r>
        <w:t xml:space="preserve">- Prevents Islamic fintech development</w:t>
      </w:r>
      <w:r>
        <w:t xml:space="preserve"> </w:t>
      </w:r>
      <w:r>
        <w:t xml:space="preserve">- Stifles blockchain innovation in financial services</w:t>
      </w:r>
      <w:r>
        <w:t xml:space="preserve"> </w:t>
      </w:r>
      <w:r>
        <w:t xml:space="preserve">- Cedes technology leadership to permissive jurisdictions</w:t>
      </w:r>
    </w:p>
    <w:p>
      <w:pPr>
        <w:pStyle w:val="BodyText"/>
      </w:pPr>
      <w:r>
        <w:t xml:space="preserve">❌</w:t>
      </w:r>
      <w:r>
        <w:t xml:space="preserve"> </w:t>
      </w:r>
      <w:r>
        <w:rPr>
          <w:bCs/>
          <w:b/>
        </w:rPr>
        <w:t xml:space="preserve">Market Development Absence</w:t>
      </w:r>
      <w:r>
        <w:t xml:space="preserve"> </w:t>
      </w:r>
      <w:r>
        <w:t xml:space="preserve">- No cryptocurrency or blockchain industry development</w:t>
      </w:r>
      <w:r>
        <w:t xml:space="preserve"> </w:t>
      </w:r>
      <w:r>
        <w:t xml:space="preserve">- Brain drain of fintech talent to permissive jurisdictions</w:t>
      </w:r>
      <w:r>
        <w:t xml:space="preserve"> </w:t>
      </w:r>
      <w:r>
        <w:t xml:space="preserve">- No regional fintech hub development</w:t>
      </w:r>
      <w:r>
        <w:t xml:space="preserve"> </w:t>
      </w:r>
      <w:r>
        <w:t xml:space="preserve">- Limited institutional innovation</w:t>
      </w:r>
    </w:p>
    <w:p>
      <w:pPr>
        <w:pStyle w:val="BodyText"/>
      </w:pPr>
      <w:r>
        <w:t xml:space="preserve">❌</w:t>
      </w:r>
      <w:r>
        <w:t xml:space="preserve"> </w:t>
      </w:r>
      <w:r>
        <w:rPr>
          <w:bCs/>
          <w:b/>
        </w:rPr>
        <w:t xml:space="preserve">Regulatory Arbitrage</w:t>
      </w:r>
      <w:r>
        <w:t xml:space="preserve"> </w:t>
      </w:r>
      <w:r>
        <w:t xml:space="preserve">- Restrictive approach encourages offshore activity</w:t>
      </w:r>
      <w:r>
        <w:t xml:space="preserve"> </w:t>
      </w:r>
      <w:r>
        <w:t xml:space="preserve">- Saudi investors access international platforms through VPNs/proxies</w:t>
      </w:r>
      <w:r>
        <w:t xml:space="preserve"> </w:t>
      </w:r>
      <w:r>
        <w:t xml:space="preserve">- Regulation effectiveness limited by global internet access</w:t>
      </w:r>
      <w:r>
        <w:t xml:space="preserve"> </w:t>
      </w:r>
      <w:r>
        <w:t xml:space="preserve">- Illicit activity may increase in unregulated offshore channels</w:t>
      </w:r>
    </w:p>
    <w:p>
      <w:pPr>
        <w:pStyle w:val="BodyText"/>
      </w:pPr>
      <w:r>
        <w:t xml:space="preserve">❌</w:t>
      </w:r>
      <w:r>
        <w:t xml:space="preserve"> </w:t>
      </w:r>
      <w:r>
        <w:rPr>
          <w:bCs/>
          <w:b/>
        </w:rPr>
        <w:t xml:space="preserve">Harsh on Legitimate Use</w:t>
      </w:r>
      <w:r>
        <w:t xml:space="preserve"> </w:t>
      </w:r>
      <w:r>
        <w:t xml:space="preserve">- Prohibition extends to legitimate blockchain applications</w:t>
      </w:r>
      <w:r>
        <w:t xml:space="preserve"> </w:t>
      </w:r>
      <w:r>
        <w:t xml:space="preserve">- Restrictions on research and development</w:t>
      </w:r>
      <w:r>
        <w:t xml:space="preserve"> </w:t>
      </w:r>
      <w:r>
        <w:t xml:space="preserve">- Limitations on institutional experimentation</w:t>
      </w:r>
      <w:r>
        <w:t xml:space="preserve"> </w:t>
      </w:r>
      <w:r>
        <w:t xml:space="preserve">- Prevents exploration of sharia-compliant digital assets</w:t>
      </w:r>
    </w:p>
    <w:p>
      <w:pPr>
        <w:pStyle w:val="BodyText"/>
      </w:pPr>
      <w:r>
        <w:t xml:space="preserve">❌</w:t>
      </w:r>
      <w:r>
        <w:t xml:space="preserve"> </w:t>
      </w:r>
      <w:r>
        <w:rPr>
          <w:bCs/>
          <w:b/>
        </w:rPr>
        <w:t xml:space="preserve">CBDC Limitations</w:t>
      </w:r>
      <w:r>
        <w:t xml:space="preserve"> </w:t>
      </w:r>
      <w:r>
        <w:t xml:space="preserve">- CBDC does not substitute for cryptocurrency’s distributed nature</w:t>
      </w:r>
      <w:r>
        <w:t xml:space="preserve"> </w:t>
      </w:r>
      <w:r>
        <w:t xml:space="preserve">- Government-controlled nature eliminates decentralization benefits</w:t>
      </w:r>
      <w:r>
        <w:t xml:space="preserve"> </w:t>
      </w:r>
      <w:r>
        <w:t xml:space="preserve">- Privacy concerns with government-monitored digital currency</w:t>
      </w:r>
      <w:r>
        <w:t xml:space="preserve"> </w:t>
      </w:r>
      <w:r>
        <w:t xml:space="preserve">- Differs fundamentally from cryptocurrency architecture</w:t>
      </w:r>
    </w:p>
    <w:bookmarkEnd w:id="237"/>
    <w:bookmarkStart w:id="238" w:name="regional-influence-and-implications"/>
    <w:p>
      <w:pPr>
        <w:pStyle w:val="Heading3"/>
      </w:pPr>
      <w:r>
        <w:t xml:space="preserve">4.3.7 Regional Influence and Implications</w:t>
      </w:r>
    </w:p>
    <w:p>
      <w:pPr>
        <w:pStyle w:val="FirstParagraph"/>
      </w:pPr>
      <w:r>
        <w:rPr>
          <w:bCs/>
          <w:b/>
        </w:rPr>
        <w:t xml:space="preserve">Saudi Arabia’s Influence:</w:t>
      </w:r>
    </w:p>
    <w:p>
      <w:pPr>
        <w:pStyle w:val="BodyText"/>
      </w:pPr>
      <w:r>
        <w:t xml:space="preserve">Saudi Arabia’s restrictive stance influences:</w:t>
      </w:r>
      <w:r>
        <w:t xml:space="preserve"> </w:t>
      </w:r>
      <w:r>
        <w:t xml:space="preserve">- Other GCC countries’ regulatory approaches</w:t>
      </w:r>
      <w:r>
        <w:t xml:space="preserve"> </w:t>
      </w:r>
      <w:r>
        <w:t xml:space="preserve">- AAOIFI’s institutional positions</w:t>
      </w:r>
      <w:r>
        <w:t xml:space="preserve"> </w:t>
      </w:r>
      <w:r>
        <w:t xml:space="preserve">- Regional Islamic finance regulatory direction</w:t>
      </w:r>
      <w:r>
        <w:t xml:space="preserve"> </w:t>
      </w:r>
      <w:r>
        <w:t xml:space="preserve">- Global Islamic financial authority perceptions</w:t>
      </w:r>
    </w:p>
    <w:p>
      <w:pPr>
        <w:pStyle w:val="BodyText"/>
      </w:pPr>
      <w:r>
        <w:rPr>
          <w:bCs/>
          <w:b/>
        </w:rPr>
        <w:t xml:space="preserve">Concern with Innovation:</w:t>
      </w:r>
      <w:r>
        <w:t xml:space="preserve"> </w:t>
      </w:r>
      <w:r>
        <w:t xml:space="preserve">- Restrictive approach in major Islamic finance center may slow Islamic crypto-asset development</w:t>
      </w:r>
      <w:r>
        <w:t xml:space="preserve"> </w:t>
      </w:r>
      <w:r>
        <w:t xml:space="preserve">- Institutional pressure against innovation in Islamic finance</w:t>
      </w:r>
      <w:r>
        <w:t xml:space="preserve"> </w:t>
      </w:r>
      <w:r>
        <w:t xml:space="preserve">- Potential limitation on sharia-compliant digital asset development</w:t>
      </w:r>
      <w:r>
        <w:t xml:space="preserve"> </w:t>
      </w:r>
      <w:r>
        <w:t xml:space="preserve">- Regional regulatory conservatism</w:t>
      </w:r>
    </w:p>
    <w:p>
      <w:r>
        <w:pict>
          <v:rect style="width:0;height:1.5pt" o:hralign="center" o:hrstd="t" o:hr="t"/>
        </w:pict>
      </w:r>
    </w:p>
    <w:bookmarkEnd w:id="238"/>
    <w:bookmarkEnd w:id="239"/>
    <w:bookmarkStart w:id="247" w:name="Xf7ad90e64f7d50303ae2edb2a4939c870d900e5"/>
    <w:p>
      <w:pPr>
        <w:pStyle w:val="Heading2"/>
      </w:pPr>
      <w:r>
        <w:t xml:space="preserve">4.4 UAE: VARA Progressive Innovation-Friendly Framework</w:t>
      </w:r>
    </w:p>
    <w:bookmarkStart w:id="240" w:name="uae-financial-and-political-context"/>
    <w:p>
      <w:pPr>
        <w:pStyle w:val="Heading3"/>
      </w:pPr>
      <w:r>
        <w:t xml:space="preserve">4.4.1 UAE Financial and Political Context</w:t>
      </w:r>
    </w:p>
    <w:p>
      <w:pPr>
        <w:pStyle w:val="FirstParagraph"/>
      </w:pPr>
      <w:r>
        <w:rPr>
          <w:bCs/>
          <w:b/>
        </w:rPr>
        <w:t xml:space="preserve">Market Overview:</w:t>
      </w:r>
      <w:r>
        <w:t xml:space="preserve"> </w:t>
      </w:r>
      <w:r>
        <w:t xml:space="preserve">The United Arab Emirates has positioned itself as the Middle East’s leading fintech and blockchain innovation hub. The Abu Dhabi Financial Services Regulatory Authority (AFSRA) and Virtual Assets Regulatory Authority (VARA) oversee cryptocurrency regulation in Abu Dhabi and Dubai respectively.</w:t>
      </w:r>
    </w:p>
    <w:p>
      <w:pPr>
        <w:pStyle w:val="BodyText"/>
      </w:pPr>
      <w:r>
        <w:rPr>
          <w:bCs/>
          <w:b/>
        </w:rPr>
        <w:t xml:space="preserve">Strategic Positioning:</w:t>
      </w:r>
      <w:r>
        <w:t xml:space="preserve"> </w:t>
      </w:r>
      <w:r>
        <w:t xml:space="preserve">- Explicit policy goal: Become regional cryptocurrency and fintech leader</w:t>
      </w:r>
      <w:r>
        <w:t xml:space="preserve"> </w:t>
      </w:r>
      <w:r>
        <w:t xml:space="preserve">- Crypto-friendly regulatory approach targeting international talent and investment</w:t>
      </w:r>
      <w:r>
        <w:t xml:space="preserve"> </w:t>
      </w:r>
      <w:r>
        <w:t xml:space="preserve">- Competing with Singapore and Hong Kong for global fintech leadership</w:t>
      </w:r>
      <w:r>
        <w:t xml:space="preserve"> </w:t>
      </w:r>
      <w:r>
        <w:t xml:space="preserve">- Supporting blockchain innovation in Islamic finance</w:t>
      </w:r>
    </w:p>
    <w:p>
      <w:pPr>
        <w:pStyle w:val="BodyText"/>
      </w:pPr>
      <w:r>
        <w:rPr>
          <w:bCs/>
          <w:b/>
        </w:rPr>
        <w:t xml:space="preserve">Islamic Finance Context:</w:t>
      </w:r>
      <w:r>
        <w:t xml:space="preserve"> </w:t>
      </w:r>
      <w:r>
        <w:t xml:space="preserve">- Significant Islamic finance market (~$150+ billion assets)</w:t>
      </w:r>
      <w:r>
        <w:t xml:space="preserve"> </w:t>
      </w:r>
      <w:r>
        <w:t xml:space="preserve">- Recognition that cryptocurrency can complement Islamic finance</w:t>
      </w:r>
      <w:r>
        <w:t xml:space="preserve"> </w:t>
      </w:r>
      <w:r>
        <w:t xml:space="preserve">- Support for Islamic fintech and blockchain innovation</w:t>
      </w:r>
      <w:r>
        <w:t xml:space="preserve"> </w:t>
      </w:r>
      <w:r>
        <w:t xml:space="preserve">- Integration of Islamic principles with financial innovation</w:t>
      </w:r>
    </w:p>
    <w:bookmarkEnd w:id="240"/>
    <w:bookmarkStart w:id="241" w:name="X17f5d8b5e5351d476da1d04763700a3814e6981"/>
    <w:p>
      <w:pPr>
        <w:pStyle w:val="Heading3"/>
      </w:pPr>
      <w:r>
        <w:t xml:space="preserve">4.4.2 Regulatory Framework: VARA Virtual Assets Rulebook (2023)</w:t>
      </w:r>
    </w:p>
    <w:p>
      <w:pPr>
        <w:pStyle w:val="FirstParagraph"/>
      </w:pPr>
      <w:r>
        <w:rPr>
          <w:bCs/>
          <w:b/>
        </w:rPr>
        <w:t xml:space="preserve">Official Regulation:</w:t>
      </w:r>
      <w:r>
        <w:t xml:space="preserve"> </w:t>
      </w:r>
      <w:r>
        <w:t xml:space="preserve">The Virtual Assets Regulatory Authority (VARA) in Abu Dhabi issued comprehensive Virtual Assets Rulebook in 2023. Dubai maintains separate regulatory regime under Dubai Financial Services Authority (DFSA).</w:t>
      </w:r>
    </w:p>
    <w:p>
      <w:pPr>
        <w:pStyle w:val="BodyText"/>
      </w:pPr>
      <w:r>
        <w:rPr>
          <w:bCs/>
          <w:b/>
        </w:rPr>
        <w:t xml:space="preserve">Regulatory Approach: Licensed and Regulated Market</w:t>
      </w:r>
    </w:p>
    <w:p>
      <w:pPr>
        <w:pStyle w:val="SourceCode"/>
      </w:pPr>
      <w:r>
        <w:rPr>
          <w:rStyle w:val="VerbatimChar"/>
        </w:rPr>
        <w:t xml:space="preserve">UAE REGULATORY FRAMEWORK - COMPREHENSIVE LICENSING</w:t>
      </w:r>
      <w:r>
        <w:br/>
      </w:r>
      <w:r>
        <w:rPr>
          <w:rStyle w:val="VerbatimChar"/>
        </w:rPr>
        <w:t xml:space="preserve">═════════════════════════════════════════════════════════════</w:t>
      </w:r>
      <w:r>
        <w:br/>
      </w:r>
      <w:r>
        <w:br/>
      </w:r>
      <w:r>
        <w:rPr>
          <w:rStyle w:val="VerbatimChar"/>
        </w:rPr>
        <w:t xml:space="preserve">ENTITY TYPES REGULATED:</w:t>
      </w:r>
      <w:r>
        <w:br/>
      </w:r>
      <w:r>
        <w:br/>
      </w:r>
      <w:r>
        <w:rPr>
          <w:rStyle w:val="VerbatimChar"/>
        </w:rPr>
        <w:t xml:space="preserve">1. Virtual Asset Exchanges (VAEs)</w:t>
      </w:r>
      <w:r>
        <w:br/>
      </w:r>
      <w:r>
        <w:rPr>
          <w:rStyle w:val="VerbatimChar"/>
        </w:rPr>
        <w:t xml:space="preserve">   ├─ Licensing required</w:t>
      </w:r>
      <w:r>
        <w:br/>
      </w:r>
      <w:r>
        <w:rPr>
          <w:rStyle w:val="VerbatimChar"/>
        </w:rPr>
        <w:t xml:space="preserve">   ├─ Operational standards</w:t>
      </w:r>
      <w:r>
        <w:br/>
      </w:r>
      <w:r>
        <w:rPr>
          <w:rStyle w:val="VerbatimChar"/>
        </w:rPr>
        <w:t xml:space="preserve">   ├─ Capital requirements</w:t>
      </w:r>
      <w:r>
        <w:br/>
      </w:r>
      <w:r>
        <w:rPr>
          <w:rStyle w:val="VerbatimChar"/>
        </w:rPr>
        <w:t xml:space="preserve">   ├─ Governance standards</w:t>
      </w:r>
      <w:r>
        <w:br/>
      </w:r>
      <w:r>
        <w:rPr>
          <w:rStyle w:val="VerbatimChar"/>
        </w:rPr>
        <w:t xml:space="preserve">   └─ Consumer protection obligations</w:t>
      </w:r>
      <w:r>
        <w:br/>
      </w:r>
      <w:r>
        <w:br/>
      </w:r>
      <w:r>
        <w:rPr>
          <w:rStyle w:val="VerbatimChar"/>
        </w:rPr>
        <w:t xml:space="preserve">2. Custodians and Wallet Service Providers</w:t>
      </w:r>
      <w:r>
        <w:br/>
      </w:r>
      <w:r>
        <w:rPr>
          <w:rStyle w:val="VerbatimChar"/>
        </w:rPr>
        <w:t xml:space="preserve">   ├─ Licensed operational status</w:t>
      </w:r>
      <w:r>
        <w:br/>
      </w:r>
      <w:r>
        <w:rPr>
          <w:rStyle w:val="VerbatimChar"/>
        </w:rPr>
        <w:t xml:space="preserve">   ├─ Security and custody standards</w:t>
      </w:r>
      <w:r>
        <w:br/>
      </w:r>
      <w:r>
        <w:rPr>
          <w:rStyle w:val="VerbatimChar"/>
        </w:rPr>
        <w:t xml:space="preserve">   ├─ Insurance requirements</w:t>
      </w:r>
      <w:r>
        <w:br/>
      </w:r>
      <w:r>
        <w:rPr>
          <w:rStyle w:val="VerbatimChar"/>
        </w:rPr>
        <w:t xml:space="preserve">   ├─ Regular audits</w:t>
      </w:r>
      <w:r>
        <w:br/>
      </w:r>
      <w:r>
        <w:rPr>
          <w:rStyle w:val="VerbatimChar"/>
        </w:rPr>
        <w:t xml:space="preserve">   └─ Fund segregation</w:t>
      </w:r>
      <w:r>
        <w:br/>
      </w:r>
      <w:r>
        <w:br/>
      </w:r>
      <w:r>
        <w:rPr>
          <w:rStyle w:val="VerbatimChar"/>
        </w:rPr>
        <w:t xml:space="preserve">3. Virtual Asset Advisors</w:t>
      </w:r>
      <w:r>
        <w:br/>
      </w:r>
      <w:r>
        <w:rPr>
          <w:rStyle w:val="VerbatimChar"/>
        </w:rPr>
        <w:t xml:space="preserve">   ├─ Licensing requirements</w:t>
      </w:r>
      <w:r>
        <w:br/>
      </w:r>
      <w:r>
        <w:rPr>
          <w:rStyle w:val="VerbatimChar"/>
        </w:rPr>
        <w:t xml:space="preserve">   ├─ Professional standards</w:t>
      </w:r>
      <w:r>
        <w:br/>
      </w:r>
      <w:r>
        <w:rPr>
          <w:rStyle w:val="VerbatimChar"/>
        </w:rPr>
        <w:t xml:space="preserve">   ├─ Conduct rules</w:t>
      </w:r>
      <w:r>
        <w:br/>
      </w:r>
      <w:r>
        <w:rPr>
          <w:rStyle w:val="VerbatimChar"/>
        </w:rPr>
        <w:t xml:space="preserve">   ├─ Disclosure obligations</w:t>
      </w:r>
      <w:r>
        <w:br/>
      </w:r>
      <w:r>
        <w:rPr>
          <w:rStyle w:val="VerbatimChar"/>
        </w:rPr>
        <w:t xml:space="preserve">   └─ Conflict of interest management</w:t>
      </w:r>
      <w:r>
        <w:br/>
      </w:r>
      <w:r>
        <w:br/>
      </w:r>
      <w:r>
        <w:rPr>
          <w:rStyle w:val="VerbatimChar"/>
        </w:rPr>
        <w:t xml:space="preserve">4. Market Infrastructure Providers</w:t>
      </w:r>
      <w:r>
        <w:br/>
      </w:r>
      <w:r>
        <w:rPr>
          <w:rStyle w:val="VerbatimChar"/>
        </w:rPr>
        <w:t xml:space="preserve">   ├─ Trading platforms</w:t>
      </w:r>
      <w:r>
        <w:br/>
      </w:r>
      <w:r>
        <w:rPr>
          <w:rStyle w:val="VerbatimChar"/>
        </w:rPr>
        <w:t xml:space="preserve">   ├─ Settlement systems</w:t>
      </w:r>
      <w:r>
        <w:br/>
      </w:r>
      <w:r>
        <w:rPr>
          <w:rStyle w:val="VerbatimChar"/>
        </w:rPr>
        <w:t xml:space="preserve">   ├─ Clearing services</w:t>
      </w:r>
      <w:r>
        <w:br/>
      </w:r>
      <w:r>
        <w:rPr>
          <w:rStyle w:val="VerbatimChar"/>
        </w:rPr>
        <w:t xml:space="preserve">   └─ Technology service providers</w:t>
      </w:r>
      <w:r>
        <w:br/>
      </w:r>
      <w:r>
        <w:br/>
      </w:r>
      <w:r>
        <w:rPr>
          <w:rStyle w:val="VerbatimChar"/>
        </w:rPr>
        <w:t xml:space="preserve">ASSET TYPES PERMITTED:</w:t>
      </w:r>
      <w:r>
        <w:br/>
      </w:r>
      <w:r>
        <w:br/>
      </w:r>
      <w:r>
        <w:rPr>
          <w:rStyle w:val="VerbatimChar"/>
        </w:rPr>
        <w:t xml:space="preserve">├─ Cryptocurrencies (Bitcoin, Ethereum, etc.)</w:t>
      </w:r>
      <w:r>
        <w:br/>
      </w:r>
      <w:r>
        <w:rPr>
          <w:rStyle w:val="VerbatimChar"/>
        </w:rPr>
        <w:t xml:space="preserve">├─ Utility Tokens</w:t>
      </w:r>
      <w:r>
        <w:br/>
      </w:r>
      <w:r>
        <w:rPr>
          <w:rStyle w:val="VerbatimChar"/>
        </w:rPr>
        <w:t xml:space="preserve">├─ Security Tokens (subject to securities law)</w:t>
      </w:r>
      <w:r>
        <w:br/>
      </w:r>
      <w:r>
        <w:rPr>
          <w:rStyle w:val="VerbatimChar"/>
        </w:rPr>
        <w:t xml:space="preserve">├─ Stablecoins (with specific requirements)</w:t>
      </w:r>
      <w:r>
        <w:br/>
      </w:r>
      <w:r>
        <w:rPr>
          <w:rStyle w:val="VerbatimChar"/>
        </w:rPr>
        <w:t xml:space="preserve">└─ Islamic Digital Assets (encouraged)</w:t>
      </w:r>
      <w:r>
        <w:br/>
      </w:r>
      <w:r>
        <w:br/>
      </w:r>
      <w:r>
        <w:rPr>
          <w:rStyle w:val="VerbatimChar"/>
        </w:rPr>
        <w:t xml:space="preserve">═════════════════════════════════════════════════════════════</w:t>
      </w:r>
    </w:p>
    <w:p>
      <w:pPr>
        <w:pStyle w:val="FirstParagraph"/>
      </w:pPr>
      <w:r>
        <w:rPr>
          <w:bCs/>
          <w:b/>
        </w:rPr>
        <w:t xml:space="preserve">Key Characteristic:</w:t>
      </w:r>
      <w:r>
        <w:t xml:space="preserve"> </w:t>
      </w:r>
      <w:r>
        <w:t xml:space="preserve">UAE treats cryptocurrency as legitimate financial assets requiring licensing, prudential regulation, and consumer protection—parallel to traditional financial services.</w:t>
      </w:r>
    </w:p>
    <w:bookmarkEnd w:id="241"/>
    <w:bookmarkStart w:id="242" w:name="key-regulatory-provisions-2"/>
    <w:p>
      <w:pPr>
        <w:pStyle w:val="Heading3"/>
      </w:pPr>
      <w:r>
        <w:t xml:space="preserve">4.4.3 Key Regulatory Provisions</w:t>
      </w:r>
    </w:p>
    <w:p>
      <w:pPr>
        <w:pStyle w:val="FirstParagraph"/>
      </w:pPr>
      <w:r>
        <w:rPr>
          <w:bCs/>
          <w:b/>
        </w:rPr>
        <w:t xml:space="preserve">1. Comprehensive Licensing Framework</w:t>
      </w:r>
    </w:p>
    <w:p>
      <w:pPr>
        <w:pStyle w:val="BodyText"/>
      </w:pPr>
      <w:r>
        <w:rPr>
          <w:bCs/>
          <w:b/>
        </w:rPr>
        <w:t xml:space="preserve">Exchange Licensing Requirements:</w:t>
      </w:r>
      <w:r>
        <w:t xml:space="preserve"> </w:t>
      </w:r>
      <w:r>
        <w:t xml:space="preserve">- Capital adequacy standards</w:t>
      </w:r>
      <w:r>
        <w:t xml:space="preserve"> </w:t>
      </w:r>
      <w:r>
        <w:t xml:space="preserve">- Governance and board qualification requirements</w:t>
      </w:r>
      <w:r>
        <w:t xml:space="preserve"> </w:t>
      </w:r>
      <w:r>
        <w:t xml:space="preserve">- Risk management framework</w:t>
      </w:r>
      <w:r>
        <w:t xml:space="preserve"> </w:t>
      </w:r>
      <w:r>
        <w:t xml:space="preserve">- Operational resilience standards</w:t>
      </w:r>
      <w:r>
        <w:t xml:space="preserve"> </w:t>
      </w:r>
      <w:r>
        <w:t xml:space="preserve">- Technology and cybersecurity standards</w:t>
      </w:r>
      <w:r>
        <w:t xml:space="preserve"> </w:t>
      </w:r>
      <w:r>
        <w:t xml:space="preserve">- Customer asset protection mechanisms</w:t>
      </w:r>
    </w:p>
    <w:p>
      <w:pPr>
        <w:pStyle w:val="BodyText"/>
      </w:pPr>
      <w:r>
        <w:rPr>
          <w:bCs/>
          <w:b/>
        </w:rPr>
        <w:t xml:space="preserve">Custody and Wallet Service Licensing:</w:t>
      </w:r>
      <w:r>
        <w:t xml:space="preserve"> </w:t>
      </w:r>
      <w:r>
        <w:t xml:space="preserve">- Security and custody standards</w:t>
      </w:r>
      <w:r>
        <w:t xml:space="preserve"> </w:t>
      </w:r>
      <w:r>
        <w:t xml:space="preserve">- Insurance coverage requirements</w:t>
      </w:r>
      <w:r>
        <w:t xml:space="preserve"> </w:t>
      </w:r>
      <w:r>
        <w:t xml:space="preserve">- Regular third-party audits</w:t>
      </w:r>
      <w:r>
        <w:t xml:space="preserve"> </w:t>
      </w:r>
      <w:r>
        <w:t xml:space="preserve">- Key management procedures</w:t>
      </w:r>
      <w:r>
        <w:t xml:space="preserve"> </w:t>
      </w:r>
      <w:r>
        <w:t xml:space="preserve">- Disaster recovery and business continuity plans</w:t>
      </w:r>
    </w:p>
    <w:p>
      <w:pPr>
        <w:pStyle w:val="BodyText"/>
      </w:pPr>
      <w:r>
        <w:rPr>
          <w:bCs/>
          <w:b/>
        </w:rPr>
        <w:t xml:space="preserve">2. Consumer Protection Requirements</w:t>
      </w:r>
    </w:p>
    <w:p>
      <w:pPr>
        <w:pStyle w:val="BodyText"/>
      </w:pPr>
      <w:r>
        <w:rPr>
          <w:bCs/>
          <w:b/>
        </w:rPr>
        <w:t xml:space="preserve">Know-Your-Customer (KYC) and Due Diligence:</w:t>
      </w:r>
      <w:r>
        <w:t xml:space="preserve"> </w:t>
      </w:r>
      <w:r>
        <w:t xml:space="preserve">- Customer identification and verification</w:t>
      </w:r>
      <w:r>
        <w:t xml:space="preserve"> </w:t>
      </w:r>
      <w:r>
        <w:t xml:space="preserve">- Source of funds verification</w:t>
      </w:r>
      <w:r>
        <w:t xml:space="preserve"> </w:t>
      </w:r>
      <w:r>
        <w:t xml:space="preserve">- Beneficial ownership assessment</w:t>
      </w:r>
      <w:r>
        <w:t xml:space="preserve"> </w:t>
      </w:r>
      <w:r>
        <w:t xml:space="preserve">- Ongoing compliance monitoring</w:t>
      </w:r>
      <w:r>
        <w:t xml:space="preserve"> </w:t>
      </w:r>
      <w:r>
        <w:t xml:space="preserve">- Enhanced due diligence for high-risk customers</w:t>
      </w:r>
    </w:p>
    <w:p>
      <w:pPr>
        <w:pStyle w:val="BodyText"/>
      </w:pPr>
      <w:r>
        <w:rPr>
          <w:bCs/>
          <w:b/>
        </w:rPr>
        <w:t xml:space="preserve">Market Conduct Standards:</w:t>
      </w:r>
      <w:r>
        <w:t xml:space="preserve"> </w:t>
      </w:r>
      <w:r>
        <w:t xml:space="preserve">- Prohibition of market manipulation</w:t>
      </w:r>
      <w:r>
        <w:t xml:space="preserve"> </w:t>
      </w:r>
      <w:r>
        <w:t xml:space="preserve">- Insider trading prohibition</w:t>
      </w:r>
      <w:r>
        <w:t xml:space="preserve"> </w:t>
      </w:r>
      <w:r>
        <w:t xml:space="preserve">- Price fixing prohibition</w:t>
      </w:r>
      <w:r>
        <w:t xml:space="preserve"> </w:t>
      </w:r>
      <w:r>
        <w:t xml:space="preserve">- Fair and orderly market requirements</w:t>
      </w:r>
      <w:r>
        <w:t xml:space="preserve"> </w:t>
      </w:r>
      <w:r>
        <w:t xml:space="preserve">- Prohibition of deceptive practices</w:t>
      </w:r>
    </w:p>
    <w:p>
      <w:pPr>
        <w:pStyle w:val="BodyText"/>
      </w:pPr>
      <w:r>
        <w:rPr>
          <w:bCs/>
          <w:b/>
        </w:rPr>
        <w:t xml:space="preserve">Dispute Resolution:</w:t>
      </w:r>
      <w:r>
        <w:t xml:space="preserve"> </w:t>
      </w:r>
      <w:r>
        <w:t xml:space="preserve">- Customer complaint procedures</w:t>
      </w:r>
      <w:r>
        <w:t xml:space="preserve"> </w:t>
      </w:r>
      <w:r>
        <w:t xml:space="preserve">- Ombudsman access</w:t>
      </w:r>
      <w:r>
        <w:t xml:space="preserve"> </w:t>
      </w:r>
      <w:r>
        <w:t xml:space="preserve">- Alternative dispute resolution mechanisms</w:t>
      </w:r>
      <w:r>
        <w:t xml:space="preserve"> </w:t>
      </w:r>
      <w:r>
        <w:t xml:space="preserve">- Compensation schemes for customer losses</w:t>
      </w:r>
    </w:p>
    <w:p>
      <w:pPr>
        <w:pStyle w:val="BodyText"/>
      </w:pPr>
      <w:r>
        <w:rPr>
          <w:bCs/>
          <w:b/>
        </w:rPr>
        <w:t xml:space="preserve">3. Islamic Finance Integration</w:t>
      </w:r>
    </w:p>
    <w:p>
      <w:pPr>
        <w:pStyle w:val="BodyText"/>
      </w:pPr>
      <w:r>
        <w:rPr>
          <w:bCs/>
          <w:b/>
        </w:rPr>
        <w:t xml:space="preserve">Islamic Digital Assets Framework:</w:t>
      </w:r>
    </w:p>
    <w:p>
      <w:pPr>
        <w:pStyle w:val="BodyText"/>
      </w:pPr>
      <w:r>
        <w:t xml:space="preserve">VARA explicitly encourages Islamic digital assets:</w:t>
      </w:r>
      <w:r>
        <w:t xml:space="preserve"> </w:t>
      </w:r>
      <w:r>
        <w:t xml:space="preserve">- Recognition that properly-structured digital assets may achieve sharia compliance</w:t>
      </w:r>
      <w:r>
        <w:t xml:space="preserve"> </w:t>
      </w:r>
      <w:r>
        <w:t xml:space="preserve">- Separate classification for</w:t>
      </w:r>
      <w:r>
        <w:t xml:space="preserve"> </w:t>
      </w:r>
      <w:r>
        <w:t xml:space="preserve">“</w:t>
      </w:r>
      <w:r>
        <w:t xml:space="preserve">Islamic Digital Assets</w:t>
      </w:r>
      <w:r>
        <w:t xml:space="preserve">”</w:t>
      </w:r>
      <w:r>
        <w:t xml:space="preserve"> </w:t>
      </w:r>
      <w:r>
        <w:t xml:space="preserve">- Support for Islamic stablecoin and tokenization projects</w:t>
      </w:r>
      <w:r>
        <w:t xml:space="preserve"> </w:t>
      </w:r>
      <w:r>
        <w:t xml:space="preserve">- Coordination with Islamic finance authorities</w:t>
      </w:r>
    </w:p>
    <w:p>
      <w:pPr>
        <w:pStyle w:val="BodyText"/>
      </w:pPr>
      <w:r>
        <w:rPr>
          <w:bCs/>
          <w:b/>
        </w:rPr>
        <w:t xml:space="preserve">Sharia Compliance Assessment:</w:t>
      </w:r>
    </w:p>
    <w:p>
      <w:pPr>
        <w:pStyle w:val="BodyText"/>
      </w:pPr>
      <w:r>
        <w:t xml:space="preserve">VARA works with Islamic finance scholars:</w:t>
      </w:r>
      <w:r>
        <w:t xml:space="preserve"> </w:t>
      </w:r>
      <w:r>
        <w:t xml:space="preserve">-</w:t>
      </w:r>
      <w:r>
        <w:t xml:space="preserve"> </w:t>
      </w:r>
      <w:r>
        <w:rPr>
          <w:bCs/>
          <w:b/>
        </w:rPr>
        <w:t xml:space="preserve">Sharia Board</w:t>
      </w:r>
      <w:r>
        <w:t xml:space="preserve"> </w:t>
      </w:r>
      <w:r>
        <w:t xml:space="preserve">reviews Islamic digital asset compliance</w:t>
      </w:r>
      <w:r>
        <w:t xml:space="preserve"> </w:t>
      </w:r>
      <w:r>
        <w:t xml:space="preserve">- Recognition of different Islamic finance institutions’ standards</w:t>
      </w:r>
      <w:r>
        <w:t xml:space="preserve"> </w:t>
      </w:r>
      <w:r>
        <w:t xml:space="preserve">- Flexibility for Islamic finance innovation</w:t>
      </w:r>
      <w:r>
        <w:t xml:space="preserve"> </w:t>
      </w:r>
      <w:r>
        <w:t xml:space="preserve">- Support for Islamic blockchain applications</w:t>
      </w:r>
    </w:p>
    <w:p>
      <w:pPr>
        <w:pStyle w:val="BodyText"/>
      </w:pPr>
      <w:r>
        <w:rPr>
          <w:bCs/>
          <w:b/>
        </w:rPr>
        <w:t xml:space="preserve">Specific Focus: Islamic Stablecoins</w:t>
      </w:r>
      <w:r>
        <w:t xml:space="preserve"> </w:t>
      </w:r>
      <w:r>
        <w:t xml:space="preserve">UAE has become hub for Islamic stablecoin development:</w:t>
      </w:r>
      <w:r>
        <w:t xml:space="preserve"> </w:t>
      </w:r>
      <w:r>
        <w:t xml:space="preserve">- Projects developing Sharia-compliant stablecoins</w:t>
      </w:r>
      <w:r>
        <w:t xml:space="preserve"> </w:t>
      </w:r>
      <w:r>
        <w:t xml:space="preserve">- Blockchain-based Islamic finance instruments</w:t>
      </w:r>
      <w:r>
        <w:t xml:space="preserve"> </w:t>
      </w:r>
      <w:r>
        <w:t xml:space="preserve">- Cryptocurrency alternatives compliant with Islamic principles</w:t>
      </w:r>
      <w:r>
        <w:t xml:space="preserve"> </w:t>
      </w:r>
      <w:r>
        <w:t xml:space="preserve">- Positioning UAE as Islamic digital finance leader</w:t>
      </w:r>
    </w:p>
    <w:bookmarkEnd w:id="242"/>
    <w:bookmarkStart w:id="243" w:name="innovation-and-regulatory-sandbox"/>
    <w:p>
      <w:pPr>
        <w:pStyle w:val="Heading3"/>
      </w:pPr>
      <w:r>
        <w:t xml:space="preserve">4.4.4 Innovation and Regulatory Sandbox</w:t>
      </w:r>
    </w:p>
    <w:p>
      <w:pPr>
        <w:pStyle w:val="FirstParagraph"/>
      </w:pPr>
      <w:r>
        <w:rPr>
          <w:bCs/>
          <w:b/>
        </w:rPr>
        <w:t xml:space="preserve">Virtual Assets Innovation Hub:</w:t>
      </w:r>
    </w:p>
    <w:p>
      <w:pPr>
        <w:pStyle w:val="BodyText"/>
      </w:pPr>
      <w:r>
        <w:t xml:space="preserve">VARA operates innovation sandbox specifically for virtual assets:</w:t>
      </w:r>
      <w:r>
        <w:t xml:space="preserve"> </w:t>
      </w:r>
      <w:r>
        <w:t xml:space="preserve">- Regulatory relief for experimental projects</w:t>
      </w:r>
      <w:r>
        <w:t xml:space="preserve"> </w:t>
      </w:r>
      <w:r>
        <w:t xml:space="preserve">- Supervised environment for testing new products</w:t>
      </w:r>
      <w:r>
        <w:t xml:space="preserve"> </w:t>
      </w:r>
      <w:r>
        <w:t xml:space="preserve">- Reduced compliance burden for approved participants</w:t>
      </w:r>
      <w:r>
        <w:t xml:space="preserve"> </w:t>
      </w:r>
      <w:r>
        <w:t xml:space="preserve">- Pathway to full licensing upon success</w:t>
      </w:r>
      <w:r>
        <w:t xml:space="preserve"> </w:t>
      </w:r>
      <w:r>
        <w:t xml:space="preserve">- Learning opportunity for regulators and industry</w:t>
      </w:r>
    </w:p>
    <w:p>
      <w:pPr>
        <w:pStyle w:val="BodyText"/>
      </w:pPr>
      <w:r>
        <w:rPr>
          <w:bCs/>
          <w:b/>
        </w:rPr>
        <w:t xml:space="preserve">Innovation Focus:</w:t>
      </w:r>
      <w:r>
        <w:t xml:space="preserve"> </w:t>
      </w:r>
      <w:r>
        <w:t xml:space="preserve">- Islamic digital assets and stablecoins</w:t>
      </w:r>
      <w:r>
        <w:t xml:space="preserve"> </w:t>
      </w:r>
      <w:r>
        <w:t xml:space="preserve">- DeFi (Decentralized Finance) applications</w:t>
      </w:r>
      <w:r>
        <w:t xml:space="preserve"> </w:t>
      </w:r>
      <w:r>
        <w:t xml:space="preserve">- Tokenization of Islamic financial instruments</w:t>
      </w:r>
      <w:r>
        <w:t xml:space="preserve"> </w:t>
      </w:r>
      <w:r>
        <w:t xml:space="preserve">- Blockchain-based Islamic contracts</w:t>
      </w:r>
      <w:r>
        <w:t xml:space="preserve"> </w:t>
      </w:r>
      <w:r>
        <w:t xml:space="preserve">- Cross-border Islamic payment systems</w:t>
      </w:r>
    </w:p>
    <w:bookmarkEnd w:id="243"/>
    <w:bookmarkStart w:id="244" w:name="X662b76190e024c8d9d7567a5ec40c1cf16997db"/>
    <w:p>
      <w:pPr>
        <w:pStyle w:val="Heading3"/>
      </w:pPr>
      <w:r>
        <w:t xml:space="preserve">4.4.5 Distinctive Features: Islamic Digital Asset Support</w:t>
      </w:r>
    </w:p>
    <w:p>
      <w:pPr>
        <w:pStyle w:val="FirstParagraph"/>
      </w:pPr>
      <w:r>
        <w:rPr>
          <w:bCs/>
          <w:b/>
        </w:rPr>
        <w:t xml:space="preserve">Explicit Islamic Finance Integration:</w:t>
      </w:r>
    </w:p>
    <w:p>
      <w:pPr>
        <w:pStyle w:val="BodyText"/>
      </w:pPr>
      <w:r>
        <w:t xml:space="preserve">VARA’s approach distinguishes itself through explicit support for Islamic digital assets:</w:t>
      </w:r>
    </w:p>
    <w:p>
      <w:pPr>
        <w:pStyle w:val="BodyText"/>
      </w:pPr>
      <w:r>
        <w:rPr>
          <w:bCs/>
          <w:b/>
        </w:rPr>
        <w:t xml:space="preserve">1. Dedicated Islamic Digital Assets Classification</w:t>
      </w:r>
      <w:r>
        <w:t xml:space="preserve"> </w:t>
      </w:r>
      <w:r>
        <w:t xml:space="preserve">- Separate regulatory category for Islamic-compliant digital assets</w:t>
      </w:r>
      <w:r>
        <w:t xml:space="preserve"> </w:t>
      </w:r>
      <w:r>
        <w:t xml:space="preserve">- Recognition of Islamic finance principles in regulation</w:t>
      </w:r>
      <w:r>
        <w:t xml:space="preserve"> </w:t>
      </w:r>
      <w:r>
        <w:t xml:space="preserve">- Coordination with Islamic finance authorities</w:t>
      </w:r>
      <w:r>
        <w:t xml:space="preserve"> </w:t>
      </w:r>
      <w:r>
        <w:t xml:space="preserve">- Support for innovation in Islamic digital assets</w:t>
      </w:r>
    </w:p>
    <w:p>
      <w:pPr>
        <w:pStyle w:val="BodyText"/>
      </w:pPr>
      <w:r>
        <w:rPr>
          <w:bCs/>
          <w:b/>
        </w:rPr>
        <w:t xml:space="preserve">2. Sharia-Compliant Stablecoin Development</w:t>
      </w:r>
      <w:r>
        <w:t xml:space="preserve"> </w:t>
      </w:r>
      <w:r>
        <w:t xml:space="preserve">- Regulatory support for Islamic stablecoin projects</w:t>
      </w:r>
      <w:r>
        <w:t xml:space="preserve"> </w:t>
      </w:r>
      <w:r>
        <w:t xml:space="preserve">- Technical assistance for sharia compliance assessment</w:t>
      </w:r>
      <w:r>
        <w:t xml:space="preserve"> </w:t>
      </w:r>
      <w:r>
        <w:t xml:space="preserve">- Positioning as Islamic digital finance hub</w:t>
      </w:r>
      <w:r>
        <w:t xml:space="preserve"> </w:t>
      </w:r>
      <w:r>
        <w:t xml:space="preserve">- Attracting global Islamic fintech talent</w:t>
      </w:r>
    </w:p>
    <w:p>
      <w:pPr>
        <w:pStyle w:val="BodyText"/>
      </w:pPr>
      <w:r>
        <w:rPr>
          <w:bCs/>
          <w:b/>
        </w:rPr>
        <w:t xml:space="preserve">3. Blockchain Integration in Islamic Finance</w:t>
      </w:r>
      <w:r>
        <w:t xml:space="preserve"> </w:t>
      </w:r>
      <w:r>
        <w:t xml:space="preserve">- Support for tokenizing Islamic financial instruments</w:t>
      </w:r>
      <w:r>
        <w:t xml:space="preserve"> </w:t>
      </w:r>
      <w:r>
        <w:t xml:space="preserve">- Smart contract applications for Islamic contracts</w:t>
      </w:r>
      <w:r>
        <w:t xml:space="preserve"> </w:t>
      </w:r>
      <w:r>
        <w:t xml:space="preserve">- Blockchain-based sukuk (Islamic bond) development</w:t>
      </w:r>
      <w:r>
        <w:t xml:space="preserve"> </w:t>
      </w:r>
      <w:r>
        <w:t xml:space="preserve">- DeFi applications with Islamic compliance</w:t>
      </w:r>
    </w:p>
    <w:p>
      <w:pPr>
        <w:pStyle w:val="BodyText"/>
      </w:pPr>
      <w:r>
        <w:rPr>
          <w:bCs/>
          <w:b/>
        </w:rPr>
        <w:t xml:space="preserve">4. International Islamic Cooperation</w:t>
      </w:r>
      <w:r>
        <w:t xml:space="preserve"> </w:t>
      </w:r>
      <w:r>
        <w:t xml:space="preserve">- Positioning for regional Islamic finance leadership</w:t>
      </w:r>
      <w:r>
        <w:t xml:space="preserve"> </w:t>
      </w:r>
      <w:r>
        <w:t xml:space="preserve">- Potential coordination with other Islamic jurisdictions</w:t>
      </w:r>
      <w:r>
        <w:t xml:space="preserve"> </w:t>
      </w:r>
      <w:r>
        <w:t xml:space="preserve">- Development of Islamic digital asset standards</w:t>
      </w:r>
      <w:r>
        <w:t xml:space="preserve"> </w:t>
      </w:r>
      <w:r>
        <w:t xml:space="preserve">- International Islamic blockchain research</w:t>
      </w:r>
    </w:p>
    <w:bookmarkEnd w:id="244"/>
    <w:bookmarkStart w:id="245" w:name="assessment-strengths-and-weaknesses-3"/>
    <w:p>
      <w:pPr>
        <w:pStyle w:val="Heading3"/>
      </w:pPr>
      <w:r>
        <w:t xml:space="preserve">4.4.6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Innovation Encouragement</w:t>
      </w:r>
      <w:r>
        <w:t xml:space="preserve"> </w:t>
      </w:r>
      <w:r>
        <w:t xml:space="preserve">- Comprehensive regulatory framework enabling innovation</w:t>
      </w:r>
      <w:r>
        <w:t xml:space="preserve"> </w:t>
      </w:r>
      <w:r>
        <w:t xml:space="preserve">- Regulatory sandbox for experimentation</w:t>
      </w:r>
      <w:r>
        <w:t xml:space="preserve"> </w:t>
      </w:r>
      <w:r>
        <w:t xml:space="preserve">- Clear pathway from innovation to full licensing</w:t>
      </w:r>
      <w:r>
        <w:t xml:space="preserve"> </w:t>
      </w:r>
      <w:r>
        <w:t xml:space="preserve">- Attracting regional and global fintech investment</w:t>
      </w:r>
    </w:p>
    <w:p>
      <w:pPr>
        <w:pStyle w:val="BodyText"/>
      </w:pPr>
      <w:r>
        <w:t xml:space="preserve">✅</w:t>
      </w:r>
      <w:r>
        <w:t xml:space="preserve"> </w:t>
      </w:r>
      <w:r>
        <w:rPr>
          <w:bCs/>
          <w:b/>
        </w:rPr>
        <w:t xml:space="preserve">Islamic Finance Leadership</w:t>
      </w:r>
      <w:r>
        <w:t xml:space="preserve"> </w:t>
      </w:r>
      <w:r>
        <w:t xml:space="preserve">- Explicit support for Islamic digital asset development</w:t>
      </w:r>
      <w:r>
        <w:t xml:space="preserve"> </w:t>
      </w:r>
      <w:r>
        <w:t xml:space="preserve">- Recognition of sharia compliance considerations</w:t>
      </w:r>
      <w:r>
        <w:t xml:space="preserve"> </w:t>
      </w:r>
      <w:r>
        <w:t xml:space="preserve">- Positioning as Islamic fintech hub</w:t>
      </w:r>
      <w:r>
        <w:t xml:space="preserve"> </w:t>
      </w:r>
      <w:r>
        <w:t xml:space="preserve">- Pioneering Islamic stablecoin and blockchain applications</w:t>
      </w:r>
    </w:p>
    <w:p>
      <w:pPr>
        <w:pStyle w:val="BodyText"/>
      </w:pPr>
      <w:r>
        <w:t xml:space="preserve">✅</w:t>
      </w:r>
      <w:r>
        <w:t xml:space="preserve"> </w:t>
      </w:r>
      <w:r>
        <w:rPr>
          <w:bCs/>
          <w:b/>
        </w:rPr>
        <w:t xml:space="preserve">Institutional Development</w:t>
      </w:r>
      <w:r>
        <w:t xml:space="preserve"> </w:t>
      </w:r>
      <w:r>
        <w:t xml:space="preserve">- Attracting major cryptocurrency exchange operations</w:t>
      </w:r>
      <w:r>
        <w:t xml:space="preserve"> </w:t>
      </w:r>
      <w:r>
        <w:t xml:space="preserve">- Building fintech ecosystem</w:t>
      </w:r>
      <w:r>
        <w:t xml:space="preserve"> </w:t>
      </w:r>
      <w:r>
        <w:t xml:space="preserve">- Regional fintech talent hub</w:t>
      </w:r>
      <w:r>
        <w:t xml:space="preserve"> </w:t>
      </w:r>
      <w:r>
        <w:t xml:space="preserve">- Institutional cryptocurrency participation growing</w:t>
      </w:r>
    </w:p>
    <w:p>
      <w:pPr>
        <w:pStyle w:val="BodyText"/>
      </w:pPr>
      <w:r>
        <w:t xml:space="preserve">✅</w:t>
      </w:r>
      <w:r>
        <w:t xml:space="preserve"> </w:t>
      </w:r>
      <w:r>
        <w:rPr>
          <w:bCs/>
          <w:b/>
        </w:rPr>
        <w:t xml:space="preserve">Balanced Regulation</w:t>
      </w:r>
      <w:r>
        <w:t xml:space="preserve"> </w:t>
      </w:r>
      <w:r>
        <w:t xml:space="preserve">- Consumer protection with innovation enablement</w:t>
      </w:r>
      <w:r>
        <w:t xml:space="preserve"> </w:t>
      </w:r>
      <w:r>
        <w:t xml:space="preserve">- Comprehensive but proportionate licensing requirements</w:t>
      </w:r>
      <w:r>
        <w:t xml:space="preserve"> </w:t>
      </w:r>
      <w:r>
        <w:t xml:space="preserve">- Clear regulatory framework reducing uncertainty</w:t>
      </w:r>
      <w:r>
        <w:t xml:space="preserve"> </w:t>
      </w:r>
      <w:r>
        <w:t xml:space="preserve">- Prudential standards without innovation suppression</w:t>
      </w:r>
    </w:p>
    <w:p>
      <w:pPr>
        <w:pStyle w:val="BodyText"/>
      </w:pPr>
      <w:r>
        <w:rPr>
          <w:bCs/>
          <w:b/>
        </w:rPr>
        <w:t xml:space="preserve">Regulatory Weaknesses:</w:t>
      </w:r>
    </w:p>
    <w:p>
      <w:pPr>
        <w:pStyle w:val="BodyText"/>
      </w:pPr>
      <w:r>
        <w:t xml:space="preserve">❌</w:t>
      </w:r>
      <w:r>
        <w:t xml:space="preserve"> </w:t>
      </w:r>
      <w:r>
        <w:rPr>
          <w:bCs/>
          <w:b/>
        </w:rPr>
        <w:t xml:space="preserve">Regulatory Development</w:t>
      </w:r>
      <w:r>
        <w:t xml:space="preserve"> </w:t>
      </w:r>
      <w:r>
        <w:t xml:space="preserve">- Framework relatively new (2023)</w:t>
      </w:r>
      <w:r>
        <w:t xml:space="preserve"> </w:t>
      </w:r>
      <w:r>
        <w:t xml:space="preserve">- Implementation experience limited</w:t>
      </w:r>
      <w:r>
        <w:t xml:space="preserve"> </w:t>
      </w:r>
      <w:r>
        <w:t xml:space="preserve">- Potential for regulatory gaps and uncertainties</w:t>
      </w:r>
      <w:r>
        <w:t xml:space="preserve"> </w:t>
      </w:r>
      <w:r>
        <w:t xml:space="preserve">- Need for framework evolution and refinement</w:t>
      </w:r>
    </w:p>
    <w:p>
      <w:pPr>
        <w:pStyle w:val="BodyText"/>
      </w:pPr>
      <w:r>
        <w:t xml:space="preserve">❌</w:t>
      </w:r>
      <w:r>
        <w:t xml:space="preserve"> </w:t>
      </w:r>
      <w:r>
        <w:rPr>
          <w:bCs/>
          <w:b/>
        </w:rPr>
        <w:t xml:space="preserve">Supervision Capacity</w:t>
      </w:r>
      <w:r>
        <w:t xml:space="preserve"> </w:t>
      </w:r>
      <w:r>
        <w:t xml:space="preserve">- Regulatory authority capacity for complex supervision limited</w:t>
      </w:r>
      <w:r>
        <w:t xml:space="preserve"> </w:t>
      </w:r>
      <w:r>
        <w:t xml:space="preserve">- Emerging market for cryptocurrency supervision</w:t>
      </w:r>
      <w:r>
        <w:t xml:space="preserve"> </w:t>
      </w:r>
      <w:r>
        <w:t xml:space="preserve">- Technological expertise requirements evolving</w:t>
      </w:r>
      <w:r>
        <w:t xml:space="preserve"> </w:t>
      </w:r>
      <w:r>
        <w:t xml:space="preserve">- Enforcement experience limited</w:t>
      </w:r>
    </w:p>
    <w:p>
      <w:pPr>
        <w:pStyle w:val="BodyText"/>
      </w:pPr>
      <w:r>
        <w:t xml:space="preserve">❌</w:t>
      </w:r>
      <w:r>
        <w:t xml:space="preserve"> </w:t>
      </w:r>
      <w:r>
        <w:rPr>
          <w:bCs/>
          <w:b/>
        </w:rPr>
        <w:t xml:space="preserve">Market Integrity Challenges</w:t>
      </w:r>
      <w:r>
        <w:t xml:space="preserve"> </w:t>
      </w:r>
      <w:r>
        <w:t xml:space="preserve">- Rapid market growth straining oversight capacity</w:t>
      </w:r>
      <w:r>
        <w:t xml:space="preserve"> </w:t>
      </w:r>
      <w:r>
        <w:t xml:space="preserve">- Market manipulation and fraud risks</w:t>
      </w:r>
      <w:r>
        <w:t xml:space="preserve"> </w:t>
      </w:r>
      <w:r>
        <w:t xml:space="preserve">- Custody and security vulnerabilities</w:t>
      </w:r>
      <w:r>
        <w:t xml:space="preserve"> </w:t>
      </w:r>
      <w:r>
        <w:t xml:space="preserve">- Contagion and systemic risk emergence</w:t>
      </w:r>
    </w:p>
    <w:p>
      <w:pPr>
        <w:pStyle w:val="BodyText"/>
      </w:pPr>
      <w:r>
        <w:t xml:space="preserve">❌</w:t>
      </w:r>
      <w:r>
        <w:t xml:space="preserve"> </w:t>
      </w:r>
      <w:r>
        <w:rPr>
          <w:bCs/>
          <w:b/>
        </w:rPr>
        <w:t xml:space="preserve">Islamic Finance Ambiguity</w:t>
      </w:r>
      <w:r>
        <w:t xml:space="preserve"> </w:t>
      </w:r>
      <w:r>
        <w:t xml:space="preserve">- Islamic digital asset framework still developing</w:t>
      </w:r>
      <w:r>
        <w:t xml:space="preserve"> </w:t>
      </w:r>
      <w:r>
        <w:t xml:space="preserve">- Potential for conflicting guidance between VARA and Islamic finance authorities</w:t>
      </w:r>
      <w:r>
        <w:t xml:space="preserve"> </w:t>
      </w:r>
      <w:r>
        <w:t xml:space="preserve">- Limited precedent for Islamic stablecoin regulation</w:t>
      </w:r>
      <w:r>
        <w:t xml:space="preserve"> </w:t>
      </w:r>
      <w:r>
        <w:t xml:space="preserve">- Evolution and coordination needed</w:t>
      </w:r>
    </w:p>
    <w:bookmarkEnd w:id="245"/>
    <w:bookmarkStart w:id="246" w:name="market-impact-and-regional-leadership"/>
    <w:p>
      <w:pPr>
        <w:pStyle w:val="Heading3"/>
      </w:pPr>
      <w:r>
        <w:t xml:space="preserve">4.4.7 Market Impact and Regional Leadership</w:t>
      </w:r>
    </w:p>
    <w:p>
      <w:pPr>
        <w:pStyle w:val="FirstParagraph"/>
      </w:pPr>
      <w:r>
        <w:rPr>
          <w:bCs/>
          <w:b/>
        </w:rPr>
        <w:t xml:space="preserve">Market Effects:</w:t>
      </w:r>
    </w:p>
    <w:p>
      <w:pPr>
        <w:pStyle w:val="BodyText"/>
      </w:pPr>
      <w:r>
        <w:t xml:space="preserve">UAE’s permissive approach has resulted in:</w:t>
      </w:r>
      <w:r>
        <w:t xml:space="preserve"> </w:t>
      </w:r>
      <w:r>
        <w:t xml:space="preserve">- Major cryptocurrency exchange development and headquarters</w:t>
      </w:r>
      <w:r>
        <w:t xml:space="preserve"> </w:t>
      </w:r>
      <w:r>
        <w:t xml:space="preserve">- Significant fintech ecosystem and innovation</w:t>
      </w:r>
      <w:r>
        <w:t xml:space="preserve"> </w:t>
      </w:r>
      <w:r>
        <w:t xml:space="preserve">- Regional fintech hub status</w:t>
      </w:r>
      <w:r>
        <w:t xml:space="preserve"> </w:t>
      </w:r>
      <w:r>
        <w:t xml:space="preserve">- Attraction of global and regional talent</w:t>
      </w:r>
      <w:r>
        <w:t xml:space="preserve"> </w:t>
      </w:r>
      <w:r>
        <w:t xml:space="preserve">- Emerging institutional cryptocurrency participation</w:t>
      </w:r>
      <w:r>
        <w:t xml:space="preserve"> </w:t>
      </w:r>
      <w:r>
        <w:t xml:space="preserve">- Islamic fintech innovation leadership</w:t>
      </w:r>
    </w:p>
    <w:p>
      <w:pPr>
        <w:pStyle w:val="BodyText"/>
      </w:pPr>
      <w:r>
        <w:rPr>
          <w:bCs/>
          <w:b/>
        </w:rPr>
        <w:t xml:space="preserve">Notable Developments:</w:t>
      </w:r>
      <w:r>
        <w:t xml:space="preserve"> </w:t>
      </w:r>
      <w:r>
        <w:t xml:space="preserve">- Major international exchanges establishing UAE operations</w:t>
      </w:r>
      <w:r>
        <w:t xml:space="preserve"> </w:t>
      </w:r>
      <w:r>
        <w:t xml:space="preserve">- Islamic stablecoin projects development</w:t>
      </w:r>
      <w:r>
        <w:t xml:space="preserve"> </w:t>
      </w:r>
      <w:r>
        <w:t xml:space="preserve">- Blockchain innovation in Islamic finance</w:t>
      </w:r>
      <w:r>
        <w:t xml:space="preserve"> </w:t>
      </w:r>
      <w:r>
        <w:t xml:space="preserve">- Regional fintech investment and venture capital</w:t>
      </w:r>
      <w:r>
        <w:t xml:space="preserve"> </w:t>
      </w:r>
      <w:r>
        <w:t xml:space="preserve">- Cryptocurrency trading volume and market development</w:t>
      </w:r>
    </w:p>
    <w:p>
      <w:r>
        <w:pict>
          <v:rect style="width:0;height:1.5pt" o:hralign="center" o:hrstd="t" o:hr="t"/>
        </w:pict>
      </w:r>
    </w:p>
    <w:bookmarkEnd w:id="246"/>
    <w:bookmarkEnd w:id="247"/>
    <w:bookmarkStart w:id="252" w:name="Xcbb0044900e8a257646094fccf0c0c7e87fe6d9"/>
    <w:p>
      <w:pPr>
        <w:pStyle w:val="Heading2"/>
      </w:pPr>
      <w:r>
        <w:t xml:space="preserve">4.5 Bahrain: CBB Prudential Regulation Framework</w:t>
      </w:r>
    </w:p>
    <w:bookmarkStart w:id="248" w:name="bahrain-financial-context"/>
    <w:p>
      <w:pPr>
        <w:pStyle w:val="Heading3"/>
      </w:pPr>
      <w:r>
        <w:t xml:space="preserve">4.5.1 Bahrain Financial Context</w:t>
      </w:r>
    </w:p>
    <w:p>
      <w:pPr>
        <w:pStyle w:val="FirstParagraph"/>
      </w:pPr>
      <w:r>
        <w:rPr>
          <w:bCs/>
          <w:b/>
        </w:rPr>
        <w:t xml:space="preserve">Market Overview:</w:t>
      </w:r>
      <w:r>
        <w:t xml:space="preserve"> </w:t>
      </w:r>
      <w:r>
        <w:t xml:space="preserve">Bahrain, home to AAOIFI headquarters and major Islamic finance center, takes balanced middle-ground approach between restrictive Saudi Arabia and permissive UAE.</w:t>
      </w:r>
    </w:p>
    <w:p>
      <w:pPr>
        <w:pStyle w:val="BodyText"/>
      </w:pPr>
      <w:r>
        <w:rPr>
          <w:bCs/>
          <w:b/>
        </w:rPr>
        <w:t xml:space="preserve">Islamic Finance Market:</w:t>
      </w:r>
      <w:r>
        <w:t xml:space="preserve"> </w:t>
      </w:r>
      <w:r>
        <w:t xml:space="preserve">- Major regional Islamic banking center</w:t>
      </w:r>
      <w:r>
        <w:t xml:space="preserve"> </w:t>
      </w:r>
      <w:r>
        <w:t xml:space="preserve">- AAOIFI institutional headquarters</w:t>
      </w:r>
      <w:r>
        <w:t xml:space="preserve"> </w:t>
      </w:r>
      <w:r>
        <w:t xml:space="preserve">- Sophisticated Islamic finance regulatory environment</w:t>
      </w:r>
      <w:r>
        <w:t xml:space="preserve"> </w:t>
      </w:r>
      <w:r>
        <w:t xml:space="preserve">- Regional Islamic finance innovation</w:t>
      </w:r>
    </w:p>
    <w:p>
      <w:pPr>
        <w:pStyle w:val="BodyText"/>
      </w:pPr>
      <w:r>
        <w:rPr>
          <w:bCs/>
          <w:b/>
        </w:rPr>
        <w:t xml:space="preserve">Cryptocurrency Market:</w:t>
      </w:r>
      <w:r>
        <w:t xml:space="preserve"> </w:t>
      </w:r>
      <w:r>
        <w:t xml:space="preserve">- Limited but regulated cryptocurrency activity</w:t>
      </w:r>
      <w:r>
        <w:t xml:space="preserve"> </w:t>
      </w:r>
      <w:r>
        <w:t xml:space="preserve">- Institutional cryptocurrency participation</w:t>
      </w:r>
      <w:r>
        <w:t xml:space="preserve"> </w:t>
      </w:r>
      <w:r>
        <w:t xml:space="preserve">- Prudential approach with regulatory oversight</w:t>
      </w:r>
      <w:r>
        <w:t xml:space="preserve"> </w:t>
      </w:r>
      <w:r>
        <w:t xml:space="preserve">- Balance between innovation and risk management</w:t>
      </w:r>
    </w:p>
    <w:bookmarkEnd w:id="248"/>
    <w:bookmarkStart w:id="249" w:name="Xa0c4b448a24651ec4561dda2b4c210e057dd589"/>
    <w:p>
      <w:pPr>
        <w:pStyle w:val="Heading3"/>
      </w:pPr>
      <w:r>
        <w:t xml:space="preserve">4.5.2 Regulatory Framework: CBB Digital Assets Rulebook (2024)</w:t>
      </w:r>
    </w:p>
    <w:p>
      <w:pPr>
        <w:pStyle w:val="FirstParagraph"/>
      </w:pPr>
      <w:r>
        <w:rPr>
          <w:bCs/>
          <w:b/>
        </w:rPr>
        <w:t xml:space="preserve">Official Regulation:</w:t>
      </w:r>
      <w:r>
        <w:t xml:space="preserve"> </w:t>
      </w:r>
      <w:r>
        <w:t xml:space="preserve">The Central Bank of Bahrain (CBB) issued Digital Assets Rulebook in 2024, establishing prudential regulatory framework for cryptocurrency.</w:t>
      </w:r>
    </w:p>
    <w:p>
      <w:pPr>
        <w:pStyle w:val="BodyText"/>
      </w:pPr>
      <w:r>
        <w:rPr>
          <w:bCs/>
          <w:b/>
        </w:rPr>
        <w:t xml:space="preserve">Regulatory Approach: Prudential Licensing with Risk Management</w:t>
      </w:r>
    </w:p>
    <w:p>
      <w:pPr>
        <w:pStyle w:val="SourceCode"/>
      </w:pPr>
      <w:r>
        <w:rPr>
          <w:rStyle w:val="VerbatimChar"/>
        </w:rPr>
        <w:t xml:space="preserve">BAHRAIN REGULATORY FRAMEWORK</w:t>
      </w:r>
      <w:r>
        <w:br/>
      </w:r>
      <w:r>
        <w:rPr>
          <w:rStyle w:val="VerbatimChar"/>
        </w:rPr>
        <w:t xml:space="preserve">═════════════════════════════════════════════════════════════</w:t>
      </w:r>
      <w:r>
        <w:br/>
      </w:r>
      <w:r>
        <w:br/>
      </w:r>
      <w:r>
        <w:rPr>
          <w:rStyle w:val="VerbatimChar"/>
        </w:rPr>
        <w:t xml:space="preserve">REGULATORY MODEL: Prudential Licensing with Risk Management</w:t>
      </w:r>
      <w:r>
        <w:br/>
      </w:r>
      <w:r>
        <w:br/>
      </w:r>
      <w:r>
        <w:rPr>
          <w:rStyle w:val="VerbatimChar"/>
        </w:rPr>
        <w:t xml:space="preserve">Entity Types Regulated:</w:t>
      </w:r>
      <w:r>
        <w:br/>
      </w:r>
      <w:r>
        <w:rPr>
          <w:rStyle w:val="VerbatimChar"/>
        </w:rPr>
        <w:t xml:space="preserve">├─ Digital Asset Trading Platforms</w:t>
      </w:r>
      <w:r>
        <w:br/>
      </w:r>
      <w:r>
        <w:rPr>
          <w:rStyle w:val="VerbatimChar"/>
        </w:rPr>
        <w:t xml:space="preserve">├─ Digital Wallet and Custody Providers</w:t>
      </w:r>
      <w:r>
        <w:br/>
      </w:r>
      <w:r>
        <w:rPr>
          <w:rStyle w:val="VerbatimChar"/>
        </w:rPr>
        <w:t xml:space="preserve">├─ Digital Asset Service Providers</w:t>
      </w:r>
      <w:r>
        <w:br/>
      </w:r>
      <w:r>
        <w:rPr>
          <w:rStyle w:val="VerbatimChar"/>
        </w:rPr>
        <w:t xml:space="preserve">└─ Market Infrastructure Providers</w:t>
      </w:r>
      <w:r>
        <w:br/>
      </w:r>
      <w:r>
        <w:br/>
      </w:r>
      <w:r>
        <w:rPr>
          <w:rStyle w:val="VerbatimChar"/>
        </w:rPr>
        <w:t xml:space="preserve">Licensing Requirements:</w:t>
      </w:r>
      <w:r>
        <w:br/>
      </w:r>
      <w:r>
        <w:rPr>
          <w:rStyle w:val="VerbatimChar"/>
        </w:rPr>
        <w:t xml:space="preserve">├─ Capital adequacy</w:t>
      </w:r>
      <w:r>
        <w:br/>
      </w:r>
      <w:r>
        <w:rPr>
          <w:rStyle w:val="VerbatimChar"/>
        </w:rPr>
        <w:t xml:space="preserve">├─ Risk management framework</w:t>
      </w:r>
      <w:r>
        <w:br/>
      </w:r>
      <w:r>
        <w:rPr>
          <w:rStyle w:val="VerbatimChar"/>
        </w:rPr>
        <w:t xml:space="preserve">├─ Governance standards</w:t>
      </w:r>
      <w:r>
        <w:br/>
      </w:r>
      <w:r>
        <w:rPr>
          <w:rStyle w:val="VerbatimChar"/>
        </w:rPr>
        <w:t xml:space="preserve">├─ Operational resilience</w:t>
      </w:r>
      <w:r>
        <w:br/>
      </w:r>
      <w:r>
        <w:rPr>
          <w:rStyle w:val="VerbatimChar"/>
        </w:rPr>
        <w:t xml:space="preserve">└─ Consumer protection mechanisms</w:t>
      </w:r>
      <w:r>
        <w:br/>
      </w:r>
      <w:r>
        <w:br/>
      </w:r>
      <w:r>
        <w:rPr>
          <w:rStyle w:val="VerbatimChar"/>
        </w:rPr>
        <w:t xml:space="preserve">Supervision Model:</w:t>
      </w:r>
      <w:r>
        <w:br/>
      </w:r>
      <w:r>
        <w:rPr>
          <w:rStyle w:val="VerbatimChar"/>
        </w:rPr>
        <w:t xml:space="preserve">├─ Prudential examination</w:t>
      </w:r>
      <w:r>
        <w:br/>
      </w:r>
      <w:r>
        <w:rPr>
          <w:rStyle w:val="VerbatimChar"/>
        </w:rPr>
        <w:t xml:space="preserve">├─ Risk-based supervision</w:t>
      </w:r>
      <w:r>
        <w:br/>
      </w:r>
      <w:r>
        <w:rPr>
          <w:rStyle w:val="VerbatimChar"/>
        </w:rPr>
        <w:t xml:space="preserve">├─ Regular reporting requirements</w:t>
      </w:r>
      <w:r>
        <w:br/>
      </w:r>
      <w:r>
        <w:rPr>
          <w:rStyle w:val="VerbatimChar"/>
        </w:rPr>
        <w:t xml:space="preserve">├─ Enforcement mechanisms</w:t>
      </w:r>
      <w:r>
        <w:br/>
      </w:r>
      <w:r>
        <w:rPr>
          <w:rStyle w:val="VerbatimChar"/>
        </w:rPr>
        <w:t xml:space="preserve">└─ Ongoing compliance monitoring</w:t>
      </w:r>
      <w:r>
        <w:br/>
      </w:r>
      <w:r>
        <w:br/>
      </w:r>
      <w:r>
        <w:rPr>
          <w:rStyle w:val="VerbatimChar"/>
        </w:rPr>
        <w:t xml:space="preserve">═════════════════════════════════════════════════════════════</w:t>
      </w:r>
    </w:p>
    <w:p>
      <w:pPr>
        <w:pStyle w:val="FirstParagraph"/>
      </w:pPr>
      <w:r>
        <w:rPr>
          <w:bCs/>
          <w:b/>
        </w:rPr>
        <w:t xml:space="preserve">Key Characteristic:</w:t>
      </w:r>
      <w:r>
        <w:t xml:space="preserve"> </w:t>
      </w:r>
      <w:r>
        <w:t xml:space="preserve">Bahrain applies prudential framework similar to banking regulation, treating cryptocurrency service providers as regulated financial services entities.</w:t>
      </w:r>
    </w:p>
    <w:bookmarkEnd w:id="249"/>
    <w:bookmarkStart w:id="250" w:name="key-regulatory-provisions-3"/>
    <w:p>
      <w:pPr>
        <w:pStyle w:val="Heading3"/>
      </w:pPr>
      <w:r>
        <w:t xml:space="preserve">4.5.3 Key Regulatory Provisions</w:t>
      </w:r>
    </w:p>
    <w:p>
      <w:pPr>
        <w:pStyle w:val="FirstParagraph"/>
      </w:pPr>
      <w:r>
        <w:rPr>
          <w:bCs/>
          <w:b/>
        </w:rPr>
        <w:t xml:space="preserve">1. Entity Licensing Requirements</w:t>
      </w:r>
    </w:p>
    <w:p>
      <w:pPr>
        <w:pStyle w:val="BodyText"/>
      </w:pPr>
      <w:r>
        <w:rPr>
          <w:bCs/>
          <w:b/>
        </w:rPr>
        <w:t xml:space="preserve">Prudential Standards:</w:t>
      </w:r>
      <w:r>
        <w:t xml:space="preserve"> </w:t>
      </w:r>
      <w:r>
        <w:t xml:space="preserve">- Capital adequacy requirements (scaled by risk)</w:t>
      </w:r>
      <w:r>
        <w:t xml:space="preserve"> </w:t>
      </w:r>
      <w:r>
        <w:t xml:space="preserve">- Risk management framework requirements</w:t>
      </w:r>
      <w:r>
        <w:t xml:space="preserve"> </w:t>
      </w:r>
      <w:r>
        <w:t xml:space="preserve">- Internal controls and compliance procedures</w:t>
      </w:r>
      <w:r>
        <w:t xml:space="preserve"> </w:t>
      </w:r>
      <w:r>
        <w:t xml:space="preserve">- Regular internal audit requirements</w:t>
      </w:r>
      <w:r>
        <w:t xml:space="preserve"> </w:t>
      </w:r>
      <w:r>
        <w:t xml:space="preserve">- External audit requirements</w:t>
      </w:r>
    </w:p>
    <w:p>
      <w:pPr>
        <w:pStyle w:val="BodyText"/>
      </w:pPr>
      <w:r>
        <w:rPr>
          <w:bCs/>
          <w:b/>
        </w:rPr>
        <w:t xml:space="preserve">Governance Standards:</w:t>
      </w:r>
      <w:r>
        <w:t xml:space="preserve"> </w:t>
      </w:r>
      <w:r>
        <w:t xml:space="preserve">- Board composition and qualification requirements</w:t>
      </w:r>
      <w:r>
        <w:t xml:space="preserve"> </w:t>
      </w:r>
      <w:r>
        <w:t xml:space="preserve">- Management expertise requirements</w:t>
      </w:r>
      <w:r>
        <w:t xml:space="preserve"> </w:t>
      </w:r>
      <w:r>
        <w:t xml:space="preserve">- Fit and proper test requirements</w:t>
      </w:r>
      <w:r>
        <w:t xml:space="preserve"> </w:t>
      </w:r>
      <w:r>
        <w:t xml:space="preserve">- Board risk oversight obligations</w:t>
      </w:r>
      <w:r>
        <w:t xml:space="preserve"> </w:t>
      </w:r>
      <w:r>
        <w:t xml:space="preserve">- Conflict of interest management</w:t>
      </w:r>
    </w:p>
    <w:p>
      <w:pPr>
        <w:pStyle w:val="BodyText"/>
      </w:pPr>
      <w:r>
        <w:rPr>
          <w:bCs/>
          <w:b/>
        </w:rPr>
        <w:t xml:space="preserve">Operational Standards:</w:t>
      </w:r>
      <w:r>
        <w:t xml:space="preserve"> </w:t>
      </w:r>
      <w:r>
        <w:t xml:space="preserve">- Technology and cybersecurity standards</w:t>
      </w:r>
      <w:r>
        <w:t xml:space="preserve"> </w:t>
      </w:r>
      <w:r>
        <w:t xml:space="preserve">- Business continuity and disaster recovery</w:t>
      </w:r>
      <w:r>
        <w:t xml:space="preserve"> </w:t>
      </w:r>
      <w:r>
        <w:t xml:space="preserve">- Customer data protection requirements</w:t>
      </w:r>
      <w:r>
        <w:t xml:space="preserve"> </w:t>
      </w:r>
      <w:r>
        <w:t xml:space="preserve">- Incident reporting requirements</w:t>
      </w:r>
      <w:r>
        <w:t xml:space="preserve"> </w:t>
      </w:r>
      <w:r>
        <w:t xml:space="preserve">- Regular security testing and audits</w:t>
      </w:r>
    </w:p>
    <w:p>
      <w:pPr>
        <w:pStyle w:val="BodyText"/>
      </w:pPr>
      <w:r>
        <w:rPr>
          <w:bCs/>
          <w:b/>
        </w:rPr>
        <w:t xml:space="preserve">2. Consumer and Market Protection</w:t>
      </w:r>
    </w:p>
    <w:p>
      <w:pPr>
        <w:pStyle w:val="BodyText"/>
      </w:pPr>
      <w:r>
        <w:rPr>
          <w:bCs/>
          <w:b/>
        </w:rPr>
        <w:t xml:space="preserve">Customer Asset Protection:</w:t>
      </w:r>
      <w:r>
        <w:t xml:space="preserve"> </w:t>
      </w:r>
      <w:r>
        <w:t xml:space="preserve">- Segregation of customer assets</w:t>
      </w:r>
      <w:r>
        <w:t xml:space="preserve"> </w:t>
      </w:r>
      <w:r>
        <w:t xml:space="preserve">- Insurance coverage requirements</w:t>
      </w:r>
      <w:r>
        <w:t xml:space="preserve"> </w:t>
      </w:r>
      <w:r>
        <w:t xml:space="preserve">- Insolvency protection measures</w:t>
      </w:r>
      <w:r>
        <w:t xml:space="preserve"> </w:t>
      </w:r>
      <w:r>
        <w:t xml:space="preserve">- Clear legal ownership of customer assets</w:t>
      </w:r>
      <w:r>
        <w:t xml:space="preserve"> </w:t>
      </w:r>
      <w:r>
        <w:t xml:space="preserve">- Regular verification and reconciliation</w:t>
      </w:r>
    </w:p>
    <w:p>
      <w:pPr>
        <w:pStyle w:val="BodyText"/>
      </w:pPr>
      <w:r>
        <w:rPr>
          <w:bCs/>
          <w:b/>
        </w:rPr>
        <w:t xml:space="preserve">Market Conduct Requirements:</w:t>
      </w:r>
      <w:r>
        <w:t xml:space="preserve"> </w:t>
      </w:r>
      <w:r>
        <w:t xml:space="preserve">- Market manipulation prohibition</w:t>
      </w:r>
      <w:r>
        <w:t xml:space="preserve"> </w:t>
      </w:r>
      <w:r>
        <w:t xml:space="preserve">- Insider trading prohibition</w:t>
      </w:r>
      <w:r>
        <w:t xml:space="preserve"> </w:t>
      </w:r>
      <w:r>
        <w:t xml:space="preserve">- Fair dealing requirements</w:t>
      </w:r>
      <w:r>
        <w:t xml:space="preserve"> </w:t>
      </w:r>
      <w:r>
        <w:t xml:space="preserve">- Conflict of interest disclosure</w:t>
      </w:r>
      <w:r>
        <w:t xml:space="preserve"> </w:t>
      </w:r>
      <w:r>
        <w:t xml:space="preserve">- Prohibition of deceptive practices</w:t>
      </w:r>
    </w:p>
    <w:p>
      <w:pPr>
        <w:pStyle w:val="BodyText"/>
      </w:pPr>
      <w:r>
        <w:rPr>
          <w:bCs/>
          <w:b/>
        </w:rPr>
        <w:t xml:space="preserve">3. Islamic Finance Coordination</w:t>
      </w:r>
    </w:p>
    <w:p>
      <w:pPr>
        <w:pStyle w:val="BodyText"/>
      </w:pPr>
      <w:r>
        <w:rPr>
          <w:bCs/>
          <w:b/>
        </w:rPr>
        <w:t xml:space="preserve">Sharia Board Oversight:</w:t>
      </w:r>
    </w:p>
    <w:p>
      <w:pPr>
        <w:pStyle w:val="BodyText"/>
      </w:pPr>
      <w:r>
        <w:t xml:space="preserve">CBB coordinates with Sharia Board on Islamic digital assets:</w:t>
      </w:r>
      <w:r>
        <w:t xml:space="preserve"> </w:t>
      </w:r>
      <w:r>
        <w:t xml:space="preserve">- Assessment of sharia compliance for digital assets</w:t>
      </w:r>
      <w:r>
        <w:t xml:space="preserve"> </w:t>
      </w:r>
      <w:r>
        <w:t xml:space="preserve">- Recognition of Islamic principles in regulation</w:t>
      </w:r>
      <w:r>
        <w:t xml:space="preserve"> </w:t>
      </w:r>
      <w:r>
        <w:t xml:space="preserve">- Support for Islamic digital asset development</w:t>
      </w:r>
      <w:r>
        <w:t xml:space="preserve"> </w:t>
      </w:r>
      <w:r>
        <w:t xml:space="preserve">- Coordination with AAOIFI on Islamic finance standards</w:t>
      </w:r>
    </w:p>
    <w:p>
      <w:pPr>
        <w:pStyle w:val="BodyText"/>
      </w:pPr>
      <w:r>
        <w:rPr>
          <w:bCs/>
          <w:b/>
        </w:rPr>
        <w:t xml:space="preserve">Islamic Finance Integration:</w:t>
      </w:r>
      <w:r>
        <w:t xml:space="preserve"> </w:t>
      </w:r>
      <w:r>
        <w:t xml:space="preserve">- Recognition that certain digital assets may achieve sharia compliance</w:t>
      </w:r>
      <w:r>
        <w:t xml:space="preserve"> </w:t>
      </w:r>
      <w:r>
        <w:t xml:space="preserve">- Support for Islamic stablecoin development</w:t>
      </w:r>
      <w:r>
        <w:t xml:space="preserve"> </w:t>
      </w:r>
      <w:r>
        <w:t xml:space="preserve">- Blockchain applications in Islamic finance</w:t>
      </w:r>
      <w:r>
        <w:t xml:space="preserve"> </w:t>
      </w:r>
      <w:r>
        <w:t xml:space="preserve">- Experimentation with Islamic digital financial instruments</w:t>
      </w:r>
    </w:p>
    <w:bookmarkEnd w:id="250"/>
    <w:bookmarkStart w:id="251" w:name="assessment-strengths-and-weaknesses-4"/>
    <w:p>
      <w:pPr>
        <w:pStyle w:val="Heading3"/>
      </w:pPr>
      <w:r>
        <w:t xml:space="preserve">4.5.4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Balanced Approach</w:t>
      </w:r>
      <w:r>
        <w:t xml:space="preserve"> </w:t>
      </w:r>
      <w:r>
        <w:t xml:space="preserve">- Innovation encouragement with risk management</w:t>
      </w:r>
      <w:r>
        <w:t xml:space="preserve"> </w:t>
      </w:r>
      <w:r>
        <w:t xml:space="preserve">- Consumer protection without suppression</w:t>
      </w:r>
      <w:r>
        <w:t xml:space="preserve"> </w:t>
      </w:r>
      <w:r>
        <w:t xml:space="preserve">- Clear licensing framework</w:t>
      </w:r>
      <w:r>
        <w:t xml:space="preserve"> </w:t>
      </w:r>
      <w:r>
        <w:t xml:space="preserve">- Proportionate compliance requirements</w:t>
      </w:r>
    </w:p>
    <w:p>
      <w:pPr>
        <w:pStyle w:val="BodyText"/>
      </w:pPr>
      <w:r>
        <w:t xml:space="preserve">✅</w:t>
      </w:r>
      <w:r>
        <w:t xml:space="preserve"> </w:t>
      </w:r>
      <w:r>
        <w:rPr>
          <w:bCs/>
          <w:b/>
        </w:rPr>
        <w:t xml:space="preserve">Prudential Regulation</w:t>
      </w:r>
      <w:r>
        <w:t xml:space="preserve"> </w:t>
      </w:r>
      <w:r>
        <w:t xml:space="preserve">- Sophisticated risk management framework</w:t>
      </w:r>
      <w:r>
        <w:t xml:space="preserve"> </w:t>
      </w:r>
      <w:r>
        <w:t xml:space="preserve">- Capital adequacy requirements</w:t>
      </w:r>
      <w:r>
        <w:t xml:space="preserve"> </w:t>
      </w:r>
      <w:r>
        <w:t xml:space="preserve">- Governance standards ensuring institutional stability</w:t>
      </w:r>
      <w:r>
        <w:t xml:space="preserve"> </w:t>
      </w:r>
      <w:r>
        <w:t xml:space="preserve">- Ongoing supervision and examination</w:t>
      </w:r>
    </w:p>
    <w:p>
      <w:pPr>
        <w:pStyle w:val="BodyText"/>
      </w:pPr>
      <w:r>
        <w:t xml:space="preserve">✅</w:t>
      </w:r>
      <w:r>
        <w:t xml:space="preserve"> </w:t>
      </w:r>
      <w:r>
        <w:rPr>
          <w:bCs/>
          <w:b/>
        </w:rPr>
        <w:t xml:space="preserve">Consumer Protection</w:t>
      </w:r>
      <w:r>
        <w:t xml:space="preserve"> </w:t>
      </w:r>
      <w:r>
        <w:t xml:space="preserve">- Customer asset segregation and insurance</w:t>
      </w:r>
      <w:r>
        <w:t xml:space="preserve"> </w:t>
      </w:r>
      <w:r>
        <w:t xml:space="preserve">- Clear ownership and redemption rights</w:t>
      </w:r>
      <w:r>
        <w:t xml:space="preserve"> </w:t>
      </w:r>
      <w:r>
        <w:t xml:space="preserve">- Dispute resolution mechanisms</w:t>
      </w:r>
      <w:r>
        <w:t xml:space="preserve"> </w:t>
      </w:r>
      <w:r>
        <w:t xml:space="preserve">- Market conduct standards</w:t>
      </w:r>
    </w:p>
    <w:p>
      <w:pPr>
        <w:pStyle w:val="BodyText"/>
      </w:pPr>
      <w:r>
        <w:t xml:space="preserve">✅</w:t>
      </w:r>
      <w:r>
        <w:t xml:space="preserve"> </w:t>
      </w:r>
      <w:r>
        <w:rPr>
          <w:bCs/>
          <w:b/>
        </w:rPr>
        <w:t xml:space="preserve">Islamic Finance Compatibility</w:t>
      </w:r>
      <w:r>
        <w:t xml:space="preserve"> </w:t>
      </w:r>
      <w:r>
        <w:t xml:space="preserve">- Recognition of Islamic finance principles</w:t>
      </w:r>
      <w:r>
        <w:t xml:space="preserve"> </w:t>
      </w:r>
      <w:r>
        <w:t xml:space="preserve">- Support for sharia-compliant digital assets</w:t>
      </w:r>
      <w:r>
        <w:t xml:space="preserve"> </w:t>
      </w:r>
      <w:r>
        <w:t xml:space="preserve">- AAOIFI coordination</w:t>
      </w:r>
      <w:r>
        <w:t xml:space="preserve"> </w:t>
      </w:r>
      <w:r>
        <w:t xml:space="preserve">- Innovation in Islamic digital assets</w:t>
      </w:r>
    </w:p>
    <w:p>
      <w:pPr>
        <w:pStyle w:val="BodyText"/>
      </w:pPr>
      <w:r>
        <w:rPr>
          <w:bCs/>
          <w:b/>
        </w:rPr>
        <w:t xml:space="preserve">Regulatory Weaknesses:</w:t>
      </w:r>
    </w:p>
    <w:p>
      <w:pPr>
        <w:pStyle w:val="BodyText"/>
      </w:pPr>
      <w:r>
        <w:t xml:space="preserve">❌</w:t>
      </w:r>
      <w:r>
        <w:t xml:space="preserve"> </w:t>
      </w:r>
      <w:r>
        <w:rPr>
          <w:bCs/>
          <w:b/>
        </w:rPr>
        <w:t xml:space="preserve">Market Development Limitations</w:t>
      </w:r>
      <w:r>
        <w:t xml:space="preserve"> </w:t>
      </w:r>
      <w:r>
        <w:t xml:space="preserve">- More restrictive than UAE</w:t>
      </w:r>
      <w:r>
        <w:t xml:space="preserve"> </w:t>
      </w:r>
      <w:r>
        <w:t xml:space="preserve">- Limited market participation and ecosystem</w:t>
      </w:r>
      <w:r>
        <w:t xml:space="preserve"> </w:t>
      </w:r>
      <w:r>
        <w:t xml:space="preserve">- Smaller fintech innovation community</w:t>
      </w:r>
      <w:r>
        <w:t xml:space="preserve"> </w:t>
      </w:r>
      <w:r>
        <w:t xml:space="preserve">- Less attractive to international exchanges</w:t>
      </w:r>
    </w:p>
    <w:p>
      <w:pPr>
        <w:pStyle w:val="BodyText"/>
      </w:pPr>
      <w:r>
        <w:t xml:space="preserve">❌</w:t>
      </w:r>
      <w:r>
        <w:t xml:space="preserve"> </w:t>
      </w:r>
      <w:r>
        <w:rPr>
          <w:bCs/>
          <w:b/>
        </w:rPr>
        <w:t xml:space="preserve">Regulatory Uncertainty</w:t>
      </w:r>
      <w:r>
        <w:t xml:space="preserve"> </w:t>
      </w:r>
      <w:r>
        <w:t xml:space="preserve">- Newer framework (2024)</w:t>
      </w:r>
      <w:r>
        <w:t xml:space="preserve"> </w:t>
      </w:r>
      <w:r>
        <w:t xml:space="preserve">- Implementation experience limited</w:t>
      </w:r>
      <w:r>
        <w:t xml:space="preserve"> </w:t>
      </w:r>
      <w:r>
        <w:t xml:space="preserve">- Potential for regulatory evolution and gaps</w:t>
      </w:r>
      <w:r>
        <w:t xml:space="preserve"> </w:t>
      </w:r>
      <w:r>
        <w:t xml:space="preserve">- Supervision capacity developing</w:t>
      </w:r>
    </w:p>
    <w:p>
      <w:pPr>
        <w:pStyle w:val="BodyText"/>
      </w:pPr>
      <w:r>
        <w:t xml:space="preserve">❌</w:t>
      </w:r>
      <w:r>
        <w:t xml:space="preserve"> </w:t>
      </w:r>
      <w:r>
        <w:rPr>
          <w:bCs/>
          <w:b/>
        </w:rPr>
        <w:t xml:space="preserve">Supervision Challenges</w:t>
      </w:r>
      <w:r>
        <w:t xml:space="preserve"> </w:t>
      </w:r>
      <w:r>
        <w:t xml:space="preserve">- Regulatory expertise development</w:t>
      </w:r>
      <w:r>
        <w:t xml:space="preserve"> </w:t>
      </w:r>
      <w:r>
        <w:t xml:space="preserve">- Technological sophistication requirements</w:t>
      </w:r>
      <w:r>
        <w:t xml:space="preserve"> </w:t>
      </w:r>
      <w:r>
        <w:t xml:space="preserve">- Evolving market complexity</w:t>
      </w:r>
      <w:r>
        <w:t xml:space="preserve"> </w:t>
      </w:r>
      <w:r>
        <w:t xml:space="preserve">- International coordination needs</w:t>
      </w:r>
    </w:p>
    <w:p>
      <w:pPr>
        <w:pStyle w:val="BodyText"/>
      </w:pPr>
      <w:r>
        <w:t xml:space="preserve">❌</w:t>
      </w:r>
      <w:r>
        <w:t xml:space="preserve"> </w:t>
      </w:r>
      <w:r>
        <w:rPr>
          <w:bCs/>
          <w:b/>
        </w:rPr>
        <w:t xml:space="preserve">Innovation Speed</w:t>
      </w:r>
      <w:r>
        <w:t xml:space="preserve"> </w:t>
      </w:r>
      <w:r>
        <w:t xml:space="preserve">- Prudential approach may slow innovation</w:t>
      </w:r>
      <w:r>
        <w:t xml:space="preserve"> </w:t>
      </w:r>
      <w:r>
        <w:t xml:space="preserve">- Compliance burden potentially limiting experimentation</w:t>
      </w:r>
      <w:r>
        <w:t xml:space="preserve"> </w:t>
      </w:r>
      <w:r>
        <w:t xml:space="preserve">- Sandbox innovation may be limited</w:t>
      </w:r>
      <w:r>
        <w:t xml:space="preserve"> </w:t>
      </w:r>
      <w:r>
        <w:t xml:space="preserve">- Competitive disadvantage vs. UAE</w:t>
      </w:r>
    </w:p>
    <w:p>
      <w:r>
        <w:pict>
          <v:rect style="width:0;height:1.5pt" o:hralign="center" o:hrstd="t" o:hr="t"/>
        </w:pict>
      </w:r>
    </w:p>
    <w:bookmarkEnd w:id="251"/>
    <w:bookmarkEnd w:id="252"/>
    <w:bookmarkStart w:id="258" w:name="comparative-regulatory-analysis"/>
    <w:p>
      <w:pPr>
        <w:pStyle w:val="Heading2"/>
      </w:pPr>
      <w:r>
        <w:t xml:space="preserve">4.6 Comparative Regulatory Analysis</w:t>
      </w:r>
    </w:p>
    <w:bookmarkStart w:id="253" w:name="regulatory-approaches-comparison"/>
    <w:p>
      <w:pPr>
        <w:pStyle w:val="Heading3"/>
      </w:pPr>
      <w:r>
        <w:t xml:space="preserve">4.6.1 Regulatory Approaches Comparison</w:t>
      </w:r>
    </w:p>
    <w:p>
      <w:pPr>
        <w:pStyle w:val="SourceCode"/>
      </w:pPr>
      <w:r>
        <w:rPr>
          <w:rStyle w:val="VerbatimChar"/>
        </w:rPr>
        <w:t xml:space="preserve">REGULATORY APPROACH COMPARISON TABLE</w:t>
      </w:r>
      <w:r>
        <w:br/>
      </w:r>
      <w:r>
        <w:rPr>
          <w:rStyle w:val="VerbatimChar"/>
        </w:rPr>
        <w:t xml:space="preserve">═════════════════════════════════════════════════════════════════════════════</w:t>
      </w:r>
      <w:r>
        <w:br/>
      </w:r>
      <w:r>
        <w:br/>
      </w:r>
      <w:r>
        <w:rPr>
          <w:rStyle w:val="VerbatimChar"/>
        </w:rPr>
        <w:t xml:space="preserve">Jurisdiction   Approach          Position           Innovation    Sharia</w:t>
      </w:r>
      <w:r>
        <w:br/>
      </w:r>
      <w:r>
        <w:rPr>
          <w:rStyle w:val="VerbatimChar"/>
        </w:rPr>
        <w:t xml:space="preserve">                                                    Support       Integration</w:t>
      </w:r>
      <w:r>
        <w:br/>
      </w:r>
      <w:r>
        <w:rPr>
          <w:rStyle w:val="VerbatimChar"/>
        </w:rPr>
        <w:t xml:space="preserve">─────────────────────────────────────────────────────────────────────────────</w:t>
      </w:r>
      <w:r>
        <w:br/>
      </w:r>
      <w:r>
        <w:rPr>
          <w:rStyle w:val="VerbatimChar"/>
        </w:rPr>
        <w:t xml:space="preserve">Indonesia      Commodity         Restrictive        Low           High</w:t>
      </w:r>
      <w:r>
        <w:br/>
      </w:r>
      <w:r>
        <w:rPr>
          <w:rStyle w:val="VerbatimChar"/>
        </w:rPr>
        <w:t xml:space="preserve">(OJK)          Classification    (Commodity only)   (Limited)     (MUI coordinated)</w:t>
      </w:r>
      <w:r>
        <w:br/>
      </w:r>
      <w:r>
        <w:br/>
      </w:r>
      <w:r>
        <w:rPr>
          <w:rStyle w:val="VerbatimChar"/>
        </w:rPr>
        <w:t xml:space="preserve">Malaysia       Recognition       Moderate           Medium        Medium-High</w:t>
      </w:r>
      <w:r>
        <w:br/>
      </w:r>
      <w:r>
        <w:rPr>
          <w:rStyle w:val="VerbatimChar"/>
        </w:rPr>
        <w:t xml:space="preserve">(BNM)          with Licensing    (Digital Assets)   (Sandbox)     (Developing)</w:t>
      </w:r>
      <w:r>
        <w:br/>
      </w:r>
      <w:r>
        <w:br/>
      </w:r>
      <w:r>
        <w:rPr>
          <w:rStyle w:val="VerbatimChar"/>
        </w:rPr>
        <w:t xml:space="preserve">Saudi Arabia   Prohibition       Very Restrictive   None          High</w:t>
      </w:r>
      <w:r>
        <w:br/>
      </w:r>
      <w:r>
        <w:rPr>
          <w:rStyle w:val="VerbatimChar"/>
        </w:rPr>
        <w:t xml:space="preserve">(SAMA)         Framework         (De facto ban)     (No innovation)(AAOIFI aligned)</w:t>
      </w:r>
      <w:r>
        <w:br/>
      </w:r>
      <w:r>
        <w:br/>
      </w:r>
      <w:r>
        <w:rPr>
          <w:rStyle w:val="VerbatimChar"/>
        </w:rPr>
        <w:t xml:space="preserve">UAE            Comprehensive     Permissive         High          High</w:t>
      </w:r>
      <w:r>
        <w:br/>
      </w:r>
      <w:r>
        <w:rPr>
          <w:rStyle w:val="VerbatimChar"/>
        </w:rPr>
        <w:t xml:space="preserve">(VARA)         Licensing         (Full regulation)  (Sandbox +)   (Explicit support)</w:t>
      </w:r>
      <w:r>
        <w:br/>
      </w:r>
      <w:r>
        <w:br/>
      </w:r>
      <w:r>
        <w:rPr>
          <w:rStyle w:val="VerbatimChar"/>
        </w:rPr>
        <w:t xml:space="preserve">Bahrain        Prudential        Balanced           Medium        Medium</w:t>
      </w:r>
      <w:r>
        <w:br/>
      </w:r>
      <w:r>
        <w:rPr>
          <w:rStyle w:val="VerbatimChar"/>
        </w:rPr>
        <w:t xml:space="preserve">(CBB)          Licensing         (Risk-managed)     (Developing)  (AAOIFI coordinated)</w:t>
      </w:r>
      <w:r>
        <w:br/>
      </w:r>
      <w:r>
        <w:br/>
      </w:r>
      <w:r>
        <w:rPr>
          <w:rStyle w:val="VerbatimChar"/>
        </w:rPr>
        <w:t xml:space="preserve">═════════════════════════════════════════════════════════════════════════════</w:t>
      </w:r>
    </w:p>
    <w:bookmarkEnd w:id="253"/>
    <w:bookmarkStart w:id="254" w:name="X549986fa407a224f7f769650a88e9e064236f8d"/>
    <w:p>
      <w:pPr>
        <w:pStyle w:val="Heading3"/>
      </w:pPr>
      <w:r>
        <w:t xml:space="preserve">4.6.2 Regulatory Innovation-Restriction Spectrum</w:t>
      </w:r>
    </w:p>
    <w:p>
      <w:pPr>
        <w:pStyle w:val="SourceCode"/>
      </w:pPr>
      <w:r>
        <w:rPr>
          <w:rStyle w:val="VerbatimChar"/>
        </w:rPr>
        <w:t xml:space="preserve">INNOVATION ENCOURAGEMENT SPECTRUM</w:t>
      </w:r>
      <w:r>
        <w:br/>
      </w:r>
      <w:r>
        <w:rPr>
          <w:rStyle w:val="VerbatimChar"/>
        </w:rPr>
        <w:t xml:space="preserve">═════════════════════════════════════════════════════════════</w:t>
      </w:r>
      <w:r>
        <w:br/>
      </w:r>
      <w:r>
        <w:br/>
      </w:r>
      <w:r>
        <w:rPr>
          <w:rStyle w:val="VerbatimChar"/>
        </w:rPr>
        <w:t xml:space="preserve">High Innovation Encouragement</w:t>
      </w:r>
      <w:r>
        <w:br/>
      </w:r>
      <w:r>
        <w:rPr>
          <w:rStyle w:val="VerbatimChar"/>
        </w:rPr>
        <w:t xml:space="preserve">    ↑</w:t>
      </w:r>
      <w:r>
        <w:br/>
      </w:r>
      <w:r>
        <w:rPr>
          <w:rStyle w:val="VerbatimChar"/>
        </w:rPr>
        <w:t xml:space="preserve">    │     UAE (VARA)</w:t>
      </w:r>
      <w:r>
        <w:br/>
      </w:r>
      <w:r>
        <w:rPr>
          <w:rStyle w:val="VerbatimChar"/>
        </w:rPr>
        <w:t xml:space="preserve">    │        │</w:t>
      </w:r>
      <w:r>
        <w:br/>
      </w:r>
      <w:r>
        <w:rPr>
          <w:rStyle w:val="VerbatimChar"/>
        </w:rPr>
        <w:t xml:space="preserve">    │     Malaysia (BNM)</w:t>
      </w:r>
      <w:r>
        <w:br/>
      </w:r>
      <w:r>
        <w:rPr>
          <w:rStyle w:val="VerbatimChar"/>
        </w:rPr>
        <w:t xml:space="preserve">    │        │</w:t>
      </w:r>
      <w:r>
        <w:br/>
      </w:r>
      <w:r>
        <w:rPr>
          <w:rStyle w:val="VerbatimChar"/>
        </w:rPr>
        <w:t xml:space="preserve">    │     Bahrain (CBB)</w:t>
      </w:r>
      <w:r>
        <w:br/>
      </w:r>
      <w:r>
        <w:rPr>
          <w:rStyle w:val="VerbatimChar"/>
        </w:rPr>
        <w:t xml:space="preserve">    │        │</w:t>
      </w:r>
      <w:r>
        <w:br/>
      </w:r>
      <w:r>
        <w:rPr>
          <w:rStyle w:val="VerbatimChar"/>
        </w:rPr>
        <w:t xml:space="preserve">    │     Indonesia (OJK)</w:t>
      </w:r>
      <w:r>
        <w:br/>
      </w:r>
      <w:r>
        <w:rPr>
          <w:rStyle w:val="VerbatimChar"/>
        </w:rPr>
        <w:t xml:space="preserve">    │        │</w:t>
      </w:r>
      <w:r>
        <w:br/>
      </w:r>
      <w:r>
        <w:rPr>
          <w:rStyle w:val="VerbatimChar"/>
        </w:rPr>
        <w:t xml:space="preserve">    │     Saudi Arabia (SAMA)</w:t>
      </w:r>
      <w:r>
        <w:br/>
      </w:r>
      <w:r>
        <w:rPr>
          <w:rStyle w:val="VerbatimChar"/>
        </w:rPr>
        <w:t xml:space="preserve">    ↓</w:t>
      </w:r>
      <w:r>
        <w:br/>
      </w:r>
      <w:r>
        <w:rPr>
          <w:rStyle w:val="VerbatimChar"/>
        </w:rPr>
        <w:t xml:space="preserve">Restrictive/Innovation Suppression</w:t>
      </w:r>
      <w:r>
        <w:br/>
      </w:r>
      <w:r>
        <w:br/>
      </w:r>
      <w:r>
        <w:rPr>
          <w:rStyle w:val="VerbatimChar"/>
        </w:rPr>
        <w:t xml:space="preserve">KEY FACTORS:</w:t>
      </w:r>
      <w:r>
        <w:br/>
      </w:r>
      <w:r>
        <w:rPr>
          <w:rStyle w:val="VerbatimChar"/>
        </w:rPr>
        <w:t xml:space="preserve">• Licensing vs. Prohibition</w:t>
      </w:r>
      <w:r>
        <w:br/>
      </w:r>
      <w:r>
        <w:rPr>
          <w:rStyle w:val="VerbatimChar"/>
        </w:rPr>
        <w:t xml:space="preserve">• Regulatory Sandbox availability</w:t>
      </w:r>
      <w:r>
        <w:br/>
      </w:r>
      <w:r>
        <w:rPr>
          <w:rStyle w:val="VerbatimChar"/>
        </w:rPr>
        <w:t xml:space="preserve">• Asset type recognition</w:t>
      </w:r>
      <w:r>
        <w:br/>
      </w:r>
      <w:r>
        <w:rPr>
          <w:rStyle w:val="VerbatimChar"/>
        </w:rPr>
        <w:t xml:space="preserve">• Compliance burden</w:t>
      </w:r>
      <w:r>
        <w:br/>
      </w:r>
      <w:r>
        <w:rPr>
          <w:rStyle w:val="VerbatimChar"/>
        </w:rPr>
        <w:t xml:space="preserve">• Innovation support</w:t>
      </w:r>
    </w:p>
    <w:bookmarkEnd w:id="254"/>
    <w:bookmarkStart w:id="255" w:name="sharia-compliance-integration"/>
    <w:p>
      <w:pPr>
        <w:pStyle w:val="Heading3"/>
      </w:pPr>
      <w:r>
        <w:t xml:space="preserve">4.6.3 Sharia Compliance Integration</w:t>
      </w:r>
    </w:p>
    <w:p>
      <w:pPr>
        <w:pStyle w:val="SourceCode"/>
      </w:pPr>
      <w:r>
        <w:rPr>
          <w:rStyle w:val="VerbatimChar"/>
        </w:rPr>
        <w:t xml:space="preserve">ISLAMIC FINANCE INTEGRATION COMPARISON</w:t>
      </w:r>
      <w:r>
        <w:br/>
      </w:r>
      <w:r>
        <w:rPr>
          <w:rStyle w:val="VerbatimChar"/>
        </w:rPr>
        <w:t xml:space="preserve">═════════════════════════════════════════════════════════════</w:t>
      </w:r>
      <w:r>
        <w:br/>
      </w:r>
      <w:r>
        <w:br/>
      </w:r>
      <w:r>
        <w:rPr>
          <w:rStyle w:val="VerbatimChar"/>
        </w:rPr>
        <w:t xml:space="preserve">High Islamic Integration</w:t>
      </w:r>
      <w:r>
        <w:br/>
      </w:r>
      <w:r>
        <w:rPr>
          <w:rStyle w:val="VerbatimChar"/>
        </w:rPr>
        <w:t xml:space="preserve">    ↑</w:t>
      </w:r>
      <w:r>
        <w:br/>
      </w:r>
      <w:r>
        <w:rPr>
          <w:rStyle w:val="VerbatimChar"/>
        </w:rPr>
        <w:t xml:space="preserve">    │     UAE (VARA) - Explicit support</w:t>
      </w:r>
      <w:r>
        <w:br/>
      </w:r>
      <w:r>
        <w:rPr>
          <w:rStyle w:val="VerbatimChar"/>
        </w:rPr>
        <w:t xml:space="preserve">    │     Bahrain (CBB) - AAOIFI coordination</w:t>
      </w:r>
      <w:r>
        <w:br/>
      </w:r>
      <w:r>
        <w:rPr>
          <w:rStyle w:val="VerbatimChar"/>
        </w:rPr>
        <w:t xml:space="preserve">    │     Malaysia (BNM) - Sharia Board + sandbox</w:t>
      </w:r>
      <w:r>
        <w:br/>
      </w:r>
      <w:r>
        <w:rPr>
          <w:rStyle w:val="VerbatimChar"/>
        </w:rPr>
        <w:t xml:space="preserve">    │     Indonesia (OJK) - MUI fatwa coordination</w:t>
      </w:r>
      <w:r>
        <w:br/>
      </w:r>
      <w:r>
        <w:rPr>
          <w:rStyle w:val="VerbatimChar"/>
        </w:rPr>
        <w:t xml:space="preserve">    │     Saudi Arabia (SAMA) - Restrictive + AAOIFI-aligned</w:t>
      </w:r>
      <w:r>
        <w:br/>
      </w:r>
      <w:r>
        <w:rPr>
          <w:rStyle w:val="VerbatimChar"/>
        </w:rPr>
        <w:t xml:space="preserve">    ↓</w:t>
      </w:r>
      <w:r>
        <w:br/>
      </w:r>
      <w:r>
        <w:rPr>
          <w:rStyle w:val="VerbatimChar"/>
        </w:rPr>
        <w:t xml:space="preserve">Low Islamic Integration / Different Approach</w:t>
      </w:r>
      <w:r>
        <w:br/>
      </w:r>
      <w:r>
        <w:br/>
      </w:r>
      <w:r>
        <w:rPr>
          <w:rStyle w:val="VerbatimChar"/>
        </w:rPr>
        <w:t xml:space="preserve">KEY CHARACTERISTICS:</w:t>
      </w:r>
      <w:r>
        <w:br/>
      </w:r>
      <w:r>
        <w:rPr>
          <w:rStyle w:val="VerbatimChar"/>
        </w:rPr>
        <w:t xml:space="preserve">• Sharia Board involvement</w:t>
      </w:r>
      <w:r>
        <w:br/>
      </w:r>
      <w:r>
        <w:rPr>
          <w:rStyle w:val="VerbatimChar"/>
        </w:rPr>
        <w:t xml:space="preserve">• Islamic digital asset support</w:t>
      </w:r>
      <w:r>
        <w:br/>
      </w:r>
      <w:r>
        <w:rPr>
          <w:rStyle w:val="VerbatimChar"/>
        </w:rPr>
        <w:t xml:space="preserve">• Stablecoin development support</w:t>
      </w:r>
      <w:r>
        <w:br/>
      </w:r>
      <w:r>
        <w:rPr>
          <w:rStyle w:val="VerbatimChar"/>
        </w:rPr>
        <w:t xml:space="preserve">• Islamic finance innovation encouragement</w:t>
      </w:r>
      <w:r>
        <w:br/>
      </w:r>
      <w:r>
        <w:rPr>
          <w:rStyle w:val="VerbatimChar"/>
        </w:rPr>
        <w:t xml:space="preserve">• Coordination with Islamic authorities</w:t>
      </w:r>
    </w:p>
    <w:bookmarkEnd w:id="255"/>
    <w:bookmarkStart w:id="256" w:name="consumer-protection-framework"/>
    <w:p>
      <w:pPr>
        <w:pStyle w:val="Heading3"/>
      </w:pPr>
      <w:r>
        <w:t xml:space="preserve">4.6.4 Consumer Protection Framework</w:t>
      </w:r>
    </w:p>
    <w:p>
      <w:pPr>
        <w:pStyle w:val="SourceCode"/>
      </w:pPr>
      <w:r>
        <w:rPr>
          <w:rStyle w:val="VerbatimChar"/>
        </w:rPr>
        <w:t xml:space="preserve">CONSUMER PROTECTION INTENSITY</w:t>
      </w:r>
      <w:r>
        <w:br/>
      </w:r>
      <w:r>
        <w:rPr>
          <w:rStyle w:val="VerbatimChar"/>
        </w:rPr>
        <w:t xml:space="preserve">═════════════════════════════════════════════════════════════</w:t>
      </w:r>
      <w:r>
        <w:br/>
      </w:r>
      <w:r>
        <w:br/>
      </w:r>
      <w:r>
        <w:rPr>
          <w:rStyle w:val="VerbatimChar"/>
        </w:rPr>
        <w:t xml:space="preserve">Highest Protection</w:t>
      </w:r>
      <w:r>
        <w:br/>
      </w:r>
      <w:r>
        <w:rPr>
          <w:rStyle w:val="VerbatimChar"/>
        </w:rPr>
        <w:t xml:space="preserve">    ↑</w:t>
      </w:r>
      <w:r>
        <w:br/>
      </w:r>
      <w:r>
        <w:rPr>
          <w:rStyle w:val="VerbatimChar"/>
        </w:rPr>
        <w:t xml:space="preserve">    │     Bahrain (CBB) - Prudential framework</w:t>
      </w:r>
      <w:r>
        <w:br/>
      </w:r>
      <w:r>
        <w:rPr>
          <w:rStyle w:val="VerbatimChar"/>
        </w:rPr>
        <w:t xml:space="preserve">    │     UAE (VARA) - Comprehensive licensing</w:t>
      </w:r>
      <w:r>
        <w:br/>
      </w:r>
      <w:r>
        <w:rPr>
          <w:rStyle w:val="VerbatimChar"/>
        </w:rPr>
        <w:t xml:space="preserve">    │     Malaysia (BNM) - Regulatory oversight</w:t>
      </w:r>
      <w:r>
        <w:br/>
      </w:r>
      <w:r>
        <w:rPr>
          <w:rStyle w:val="VerbatimChar"/>
        </w:rPr>
        <w:t xml:space="preserve">    │     Indonesia (OJK) - Commodity regulation</w:t>
      </w:r>
      <w:r>
        <w:br/>
      </w:r>
      <w:r>
        <w:rPr>
          <w:rStyle w:val="VerbatimChar"/>
        </w:rPr>
        <w:t xml:space="preserve">    │     Saudi Arabia (SAMA) - Prohibition (ultimate protection)</w:t>
      </w:r>
      <w:r>
        <w:br/>
      </w:r>
      <w:r>
        <w:rPr>
          <w:rStyle w:val="VerbatimChar"/>
        </w:rPr>
        <w:t xml:space="preserve">    ↓</w:t>
      </w:r>
      <w:r>
        <w:br/>
      </w:r>
      <w:r>
        <w:rPr>
          <w:rStyle w:val="VerbatimChar"/>
        </w:rPr>
        <w:t xml:space="preserve">Lower Consumer Protection / Prohibition Alternative</w:t>
      </w:r>
      <w:r>
        <w:br/>
      </w:r>
      <w:r>
        <w:br/>
      </w:r>
      <w:r>
        <w:rPr>
          <w:rStyle w:val="VerbatimChar"/>
        </w:rPr>
        <w:t xml:space="preserve">KEY MECHANISMS:</w:t>
      </w:r>
      <w:r>
        <w:br/>
      </w:r>
      <w:r>
        <w:rPr>
          <w:rStyle w:val="VerbatimChar"/>
        </w:rPr>
        <w:t xml:space="preserve">• Licensing and oversight</w:t>
      </w:r>
      <w:r>
        <w:br/>
      </w:r>
      <w:r>
        <w:rPr>
          <w:rStyle w:val="VerbatimChar"/>
        </w:rPr>
        <w:t xml:space="preserve">• Capital adequacy requirements</w:t>
      </w:r>
      <w:r>
        <w:br/>
      </w:r>
      <w:r>
        <w:rPr>
          <w:rStyle w:val="VerbatimChar"/>
        </w:rPr>
        <w:t xml:space="preserve">• Customer asset protection</w:t>
      </w:r>
      <w:r>
        <w:br/>
      </w:r>
      <w:r>
        <w:rPr>
          <w:rStyle w:val="VerbatimChar"/>
        </w:rPr>
        <w:t xml:space="preserve">• Market conduct standards</w:t>
      </w:r>
      <w:r>
        <w:br/>
      </w:r>
      <w:r>
        <w:rPr>
          <w:rStyle w:val="VerbatimChar"/>
        </w:rPr>
        <w:t xml:space="preserve">• Dispute resolution mechanisms</w:t>
      </w:r>
    </w:p>
    <w:bookmarkEnd w:id="256"/>
    <w:bookmarkStart w:id="257" w:name="market-development-outcomes"/>
    <w:p>
      <w:pPr>
        <w:pStyle w:val="Heading3"/>
      </w:pPr>
      <w:r>
        <w:t xml:space="preserve">4.6.5 Market Development Outcomes</w:t>
      </w:r>
    </w:p>
    <w:p>
      <w:pPr>
        <w:pStyle w:val="SourceCode"/>
      </w:pPr>
      <w:r>
        <w:rPr>
          <w:rStyle w:val="VerbatimChar"/>
        </w:rPr>
        <w:t xml:space="preserve">CRYPTOCURRENCY MARKET DEVELOPMENT OUTCOMES</w:t>
      </w:r>
      <w:r>
        <w:br/>
      </w:r>
      <w:r>
        <w:rPr>
          <w:rStyle w:val="VerbatimChar"/>
        </w:rPr>
        <w:t xml:space="preserve">═════════════════════════════════════════════════════════════</w:t>
      </w:r>
      <w:r>
        <w:br/>
      </w:r>
      <w:r>
        <w:br/>
      </w:r>
      <w:r>
        <w:rPr>
          <w:rStyle w:val="VerbatimChar"/>
        </w:rPr>
        <w:t xml:space="preserve">Market Development Level</w:t>
      </w:r>
      <w:r>
        <w:br/>
      </w:r>
      <w:r>
        <w:rPr>
          <w:rStyle w:val="VerbatimChar"/>
        </w:rPr>
        <w:t xml:space="preserve">    ↑</w:t>
      </w:r>
      <w:r>
        <w:br/>
      </w:r>
      <w:r>
        <w:rPr>
          <w:rStyle w:val="VerbatimChar"/>
        </w:rPr>
        <w:t xml:space="preserve">    │     UAE (VARA) - High ecosystem development</w:t>
      </w:r>
      <w:r>
        <w:br/>
      </w:r>
      <w:r>
        <w:rPr>
          <w:rStyle w:val="VerbatimChar"/>
        </w:rPr>
        <w:t xml:space="preserve">    │     Malaysia (BNM) - Growing ecosystem</w:t>
      </w:r>
      <w:r>
        <w:br/>
      </w:r>
      <w:r>
        <w:rPr>
          <w:rStyle w:val="VerbatimChar"/>
        </w:rPr>
        <w:t xml:space="preserve">    │     Bahrain (CBB) - Moderate development</w:t>
      </w:r>
      <w:r>
        <w:br/>
      </w:r>
      <w:r>
        <w:rPr>
          <w:rStyle w:val="VerbatimChar"/>
        </w:rPr>
        <w:t xml:space="preserve">    │     Indonesia (OJK) - Limited development</w:t>
      </w:r>
      <w:r>
        <w:br/>
      </w:r>
      <w:r>
        <w:rPr>
          <w:rStyle w:val="VerbatimChar"/>
        </w:rPr>
        <w:t xml:space="preserve">    │     Saudi Arabia (SAMA) - Minimal development</w:t>
      </w:r>
      <w:r>
        <w:br/>
      </w:r>
      <w:r>
        <w:rPr>
          <w:rStyle w:val="VerbatimChar"/>
        </w:rPr>
        <w:t xml:space="preserve">    ↓</w:t>
      </w:r>
      <w:r>
        <w:br/>
      </w:r>
      <w:r>
        <w:rPr>
          <w:rStyle w:val="VerbatimChar"/>
        </w:rPr>
        <w:t xml:space="preserve">Limited Ecosystem Development</w:t>
      </w:r>
      <w:r>
        <w:br/>
      </w:r>
      <w:r>
        <w:br/>
      </w:r>
      <w:r>
        <w:rPr>
          <w:rStyle w:val="VerbatimChar"/>
        </w:rPr>
        <w:t xml:space="preserve">OUTCOMES:</w:t>
      </w:r>
      <w:r>
        <w:br/>
      </w:r>
      <w:r>
        <w:rPr>
          <w:rStyle w:val="VerbatimChar"/>
        </w:rPr>
        <w:t xml:space="preserve">• Exchange development</w:t>
      </w:r>
      <w:r>
        <w:br/>
      </w:r>
      <w:r>
        <w:rPr>
          <w:rStyle w:val="VerbatimChar"/>
        </w:rPr>
        <w:t xml:space="preserve">• Fintech ecosystem growth</w:t>
      </w:r>
      <w:r>
        <w:br/>
      </w:r>
      <w:r>
        <w:rPr>
          <w:rStyle w:val="VerbatimChar"/>
        </w:rPr>
        <w:t xml:space="preserve">• Regional competitiveness</w:t>
      </w:r>
      <w:r>
        <w:br/>
      </w:r>
      <w:r>
        <w:rPr>
          <w:rStyle w:val="VerbatimChar"/>
        </w:rPr>
        <w:t xml:space="preserve">• Talent attraction</w:t>
      </w:r>
      <w:r>
        <w:br/>
      </w:r>
      <w:r>
        <w:rPr>
          <w:rStyle w:val="VerbatimChar"/>
        </w:rPr>
        <w:t xml:space="preserve">• Institutional participation</w:t>
      </w:r>
    </w:p>
    <w:p>
      <w:r>
        <w:pict>
          <v:rect style="width:0;height:1.5pt" o:hralign="center" o:hrstd="t" o:hr="t"/>
        </w:pict>
      </w:r>
    </w:p>
    <w:bookmarkEnd w:id="257"/>
    <w:bookmarkEnd w:id="258"/>
    <w:bookmarkStart w:id="262" w:name="harmonization-gaps-and-challenges"/>
    <w:p>
      <w:pPr>
        <w:pStyle w:val="Heading2"/>
      </w:pPr>
      <w:r>
        <w:t xml:space="preserve">4.7 Harmonization Gaps and Challenges</w:t>
      </w:r>
    </w:p>
    <w:bookmarkStart w:id="259" w:name="regulatory-fragmentation"/>
    <w:p>
      <w:pPr>
        <w:pStyle w:val="Heading3"/>
      </w:pPr>
      <w:r>
        <w:t xml:space="preserve">4.7.1 Regulatory Fragmentation</w:t>
      </w:r>
    </w:p>
    <w:p>
      <w:pPr>
        <w:pStyle w:val="FirstParagraph"/>
      </w:pPr>
      <w:r>
        <w:rPr>
          <w:bCs/>
          <w:b/>
        </w:rPr>
        <w:t xml:space="preserve">Fundamental Gaps:</w:t>
      </w:r>
    </w:p>
    <w:p>
      <w:pPr>
        <w:pStyle w:val="SourceCode"/>
      </w:pPr>
      <w:r>
        <w:rPr>
          <w:rStyle w:val="VerbatimChar"/>
        </w:rPr>
        <w:t xml:space="preserve">REGULATORY FRAGMENTATION MATRIX</w:t>
      </w:r>
      <w:r>
        <w:br/>
      </w:r>
      <w:r>
        <w:rPr>
          <w:rStyle w:val="VerbatimChar"/>
        </w:rPr>
        <w:t xml:space="preserve">═════════════════════════════════════════════════════════════</w:t>
      </w:r>
      <w:r>
        <w:br/>
      </w:r>
      <w:r>
        <w:br/>
      </w:r>
      <w:r>
        <w:rPr>
          <w:rStyle w:val="VerbatimChar"/>
        </w:rPr>
        <w:t xml:space="preserve">Issue              Indonesia  Malaysia  Saudi Arabia  UAE    Bahrain</w:t>
      </w:r>
      <w:r>
        <w:br/>
      </w:r>
      <w:r>
        <w:rPr>
          <w:rStyle w:val="VerbatimChar"/>
        </w:rPr>
        <w:t xml:space="preserve">─────────────────────────────────────────────────────────────────────</w:t>
      </w:r>
      <w:r>
        <w:br/>
      </w:r>
      <w:r>
        <w:rPr>
          <w:rStyle w:val="VerbatimChar"/>
        </w:rPr>
        <w:t xml:space="preserve">Definition         Commodity  Digital   Prohibited    Assets Regulated</w:t>
      </w:r>
      <w:r>
        <w:br/>
      </w:r>
      <w:r>
        <w:rPr>
          <w:rStyle w:val="VerbatimChar"/>
        </w:rPr>
        <w:t xml:space="preserve">                            Assets                           Assets</w:t>
      </w:r>
      <w:r>
        <w:br/>
      </w:r>
      <w:r>
        <w:br/>
      </w:r>
      <w:r>
        <w:rPr>
          <w:rStyle w:val="VerbatimChar"/>
        </w:rPr>
        <w:t xml:space="preserve">Legal Status       Not        Recognized Prohibited   Regulated Regulated</w:t>
      </w:r>
      <w:r>
        <w:br/>
      </w:r>
      <w:r>
        <w:rPr>
          <w:rStyle w:val="VerbatimChar"/>
        </w:rPr>
        <w:t xml:space="preserve">                   Currency             Assets</w:t>
      </w:r>
      <w:r>
        <w:br/>
      </w:r>
      <w:r>
        <w:br/>
      </w:r>
      <w:r>
        <w:rPr>
          <w:rStyle w:val="VerbatimChar"/>
        </w:rPr>
        <w:t xml:space="preserve">Treatment          Commodity  Digital   Prohibited   Comprehensive Prudential</w:t>
      </w:r>
      <w:r>
        <w:br/>
      </w:r>
      <w:r>
        <w:rPr>
          <w:rStyle w:val="VerbatimChar"/>
        </w:rPr>
        <w:t xml:space="preserve">                   Regulation Assets                 Licensing    Licensing</w:t>
      </w:r>
      <w:r>
        <w:br/>
      </w:r>
      <w:r>
        <w:br/>
      </w:r>
      <w:r>
        <w:rPr>
          <w:rStyle w:val="VerbatimChar"/>
        </w:rPr>
        <w:t xml:space="preserve">Market             Limited    Moderate  Minimal      High    Moderate</w:t>
      </w:r>
      <w:r>
        <w:br/>
      </w:r>
      <w:r>
        <w:rPr>
          <w:rStyle w:val="VerbatimChar"/>
        </w:rPr>
        <w:t xml:space="preserve">Development</w:t>
      </w:r>
      <w:r>
        <w:br/>
      </w:r>
      <w:r>
        <w:br/>
      </w:r>
      <w:r>
        <w:rPr>
          <w:rStyle w:val="VerbatimChar"/>
        </w:rPr>
        <w:t xml:space="preserve">Innovation         Limited    Medium    None         High    Medium</w:t>
      </w:r>
      <w:r>
        <w:br/>
      </w:r>
      <w:r>
        <w:rPr>
          <w:rStyle w:val="VerbatimChar"/>
        </w:rPr>
        <w:t xml:space="preserve">Support</w:t>
      </w:r>
      <w:r>
        <w:br/>
      </w:r>
      <w:r>
        <w:br/>
      </w:r>
      <w:r>
        <w:rPr>
          <w:rStyle w:val="VerbatimChar"/>
        </w:rPr>
        <w:t xml:space="preserve">═════════════════════════════════════════════════════════════</w:t>
      </w:r>
    </w:p>
    <w:p>
      <w:pPr>
        <w:pStyle w:val="FirstParagraph"/>
      </w:pPr>
      <w:r>
        <w:rPr>
          <w:bCs/>
          <w:b/>
        </w:rPr>
        <w:t xml:space="preserve">Consequences:</w:t>
      </w:r>
    </w:p>
    <w:p>
      <w:pPr>
        <w:numPr>
          <w:ilvl w:val="0"/>
          <w:numId w:val="1110"/>
        </w:numPr>
        <w:pStyle w:val="Compact"/>
      </w:pPr>
      <w:r>
        <w:rPr>
          <w:bCs/>
          <w:b/>
        </w:rPr>
        <w:t xml:space="preserve">Regulatory Arbitrage</w:t>
      </w:r>
    </w:p>
    <w:p>
      <w:pPr>
        <w:numPr>
          <w:ilvl w:val="1"/>
          <w:numId w:val="1111"/>
        </w:numPr>
        <w:pStyle w:val="Compact"/>
      </w:pPr>
      <w:r>
        <w:t xml:space="preserve">Businesses migrate to permissive jurisdictions (UAE)</w:t>
      </w:r>
    </w:p>
    <w:p>
      <w:pPr>
        <w:numPr>
          <w:ilvl w:val="1"/>
          <w:numId w:val="1111"/>
        </w:numPr>
        <w:pStyle w:val="Compact"/>
      </w:pPr>
      <w:r>
        <w:t xml:space="preserve">Investors access offshore platforms</w:t>
      </w:r>
    </w:p>
    <w:p>
      <w:pPr>
        <w:numPr>
          <w:ilvl w:val="1"/>
          <w:numId w:val="1111"/>
        </w:numPr>
        <w:pStyle w:val="Compact"/>
      </w:pPr>
      <w:r>
        <w:t xml:space="preserve">Activity flows to unregulated channels</w:t>
      </w:r>
    </w:p>
    <w:p>
      <w:pPr>
        <w:numPr>
          <w:ilvl w:val="1"/>
          <w:numId w:val="1111"/>
        </w:numPr>
        <w:pStyle w:val="Compact"/>
      </w:pPr>
      <w:r>
        <w:t xml:space="preserve">Effectiveness of restrictive regulation limited</w:t>
      </w:r>
    </w:p>
    <w:p>
      <w:pPr>
        <w:numPr>
          <w:ilvl w:val="0"/>
          <w:numId w:val="1110"/>
        </w:numPr>
        <w:pStyle w:val="Compact"/>
      </w:pPr>
      <w:r>
        <w:rPr>
          <w:bCs/>
          <w:b/>
        </w:rPr>
        <w:t xml:space="preserve">Inconsistent Standards</w:t>
      </w:r>
    </w:p>
    <w:p>
      <w:pPr>
        <w:numPr>
          <w:ilvl w:val="1"/>
          <w:numId w:val="1112"/>
        </w:numPr>
        <w:pStyle w:val="Compact"/>
      </w:pPr>
      <w:r>
        <w:t xml:space="preserve">No unified Islamic cryptocurrency framework</w:t>
      </w:r>
    </w:p>
    <w:p>
      <w:pPr>
        <w:numPr>
          <w:ilvl w:val="1"/>
          <w:numId w:val="1112"/>
        </w:numPr>
        <w:pStyle w:val="Compact"/>
      </w:pPr>
      <w:r>
        <w:t xml:space="preserve">Different requirements across jurisdictions</w:t>
      </w:r>
    </w:p>
    <w:p>
      <w:pPr>
        <w:numPr>
          <w:ilvl w:val="1"/>
          <w:numId w:val="1112"/>
        </w:numPr>
        <w:pStyle w:val="Compact"/>
      </w:pPr>
      <w:r>
        <w:t xml:space="preserve">Difficulty for institutions operating regionally</w:t>
      </w:r>
    </w:p>
    <w:p>
      <w:pPr>
        <w:numPr>
          <w:ilvl w:val="1"/>
          <w:numId w:val="1112"/>
        </w:numPr>
        <w:pStyle w:val="Compact"/>
      </w:pPr>
      <w:r>
        <w:t xml:space="preserve">Cross-border compliance complexity</w:t>
      </w:r>
    </w:p>
    <w:p>
      <w:pPr>
        <w:numPr>
          <w:ilvl w:val="0"/>
          <w:numId w:val="1110"/>
        </w:numPr>
        <w:pStyle w:val="Compact"/>
      </w:pPr>
      <w:r>
        <w:rPr>
          <w:bCs/>
          <w:b/>
        </w:rPr>
        <w:t xml:space="preserve">Competitive Disadvantage</w:t>
      </w:r>
    </w:p>
    <w:p>
      <w:pPr>
        <w:numPr>
          <w:ilvl w:val="1"/>
          <w:numId w:val="1113"/>
        </w:numPr>
        <w:pStyle w:val="Compact"/>
      </w:pPr>
      <w:r>
        <w:t xml:space="preserve">Restrictive jurisdictions lose fintech talent and investment</w:t>
      </w:r>
    </w:p>
    <w:p>
      <w:pPr>
        <w:numPr>
          <w:ilvl w:val="1"/>
          <w:numId w:val="1113"/>
        </w:numPr>
        <w:pStyle w:val="Compact"/>
      </w:pPr>
      <w:r>
        <w:t xml:space="preserve">Permissive jurisdictions attract innovation</w:t>
      </w:r>
    </w:p>
    <w:p>
      <w:pPr>
        <w:numPr>
          <w:ilvl w:val="1"/>
          <w:numId w:val="1113"/>
        </w:numPr>
        <w:pStyle w:val="Compact"/>
      </w:pPr>
      <w:r>
        <w:t xml:space="preserve">Regional concentration in few jurisdictions (UAE)</w:t>
      </w:r>
    </w:p>
    <w:p>
      <w:pPr>
        <w:numPr>
          <w:ilvl w:val="1"/>
          <w:numId w:val="1113"/>
        </w:numPr>
        <w:pStyle w:val="Compact"/>
      </w:pPr>
      <w:r>
        <w:t xml:space="preserve">Limited distributed innovation ecosystem</w:t>
      </w:r>
    </w:p>
    <w:p>
      <w:pPr>
        <w:numPr>
          <w:ilvl w:val="0"/>
          <w:numId w:val="1110"/>
        </w:numPr>
        <w:pStyle w:val="Compact"/>
      </w:pPr>
      <w:r>
        <w:rPr>
          <w:bCs/>
          <w:b/>
        </w:rPr>
        <w:t xml:space="preserve">Islamic Finance Coordination Gap</w:t>
      </w:r>
    </w:p>
    <w:p>
      <w:pPr>
        <w:numPr>
          <w:ilvl w:val="1"/>
          <w:numId w:val="1114"/>
        </w:numPr>
        <w:pStyle w:val="Compact"/>
      </w:pPr>
      <w:r>
        <w:t xml:space="preserve">No coordinated Islamic approach to cryptocurrency</w:t>
      </w:r>
    </w:p>
    <w:p>
      <w:pPr>
        <w:numPr>
          <w:ilvl w:val="1"/>
          <w:numId w:val="1114"/>
        </w:numPr>
        <w:pStyle w:val="Compact"/>
      </w:pPr>
      <w:r>
        <w:t xml:space="preserve">Regulatory approaches vary from sharia coordination</w:t>
      </w:r>
    </w:p>
    <w:p>
      <w:pPr>
        <w:numPr>
          <w:ilvl w:val="1"/>
          <w:numId w:val="1114"/>
        </w:numPr>
        <w:pStyle w:val="Compact"/>
      </w:pPr>
      <w:r>
        <w:t xml:space="preserve">Islamic finance institutions uncertain about regional participation</w:t>
      </w:r>
    </w:p>
    <w:p>
      <w:pPr>
        <w:numPr>
          <w:ilvl w:val="1"/>
          <w:numId w:val="1114"/>
        </w:numPr>
        <w:pStyle w:val="Compact"/>
      </w:pPr>
      <w:r>
        <w:t xml:space="preserve">Limited Islamic digital asset ecosystem</w:t>
      </w:r>
    </w:p>
    <w:bookmarkEnd w:id="259"/>
    <w:bookmarkStart w:id="260" w:name="specific-coordination-challenges"/>
    <w:p>
      <w:pPr>
        <w:pStyle w:val="Heading3"/>
      </w:pPr>
      <w:r>
        <w:t xml:space="preserve">4.7.2 Specific Coordination Challenges</w:t>
      </w:r>
    </w:p>
    <w:p>
      <w:pPr>
        <w:pStyle w:val="FirstParagraph"/>
      </w:pPr>
      <w:r>
        <w:rPr>
          <w:bCs/>
          <w:b/>
        </w:rPr>
        <w:t xml:space="preserve">Challenge 1: Stablecoin Regulation</w:t>
      </w:r>
    </w:p>
    <w:p>
      <w:pPr>
        <w:pStyle w:val="SourceCode"/>
      </w:pPr>
      <w:r>
        <w:rPr>
          <w:rStyle w:val="VerbatimChar"/>
        </w:rPr>
        <w:t xml:space="preserve">STABLECOIN REGULATORY TREATMENT</w:t>
      </w:r>
      <w:r>
        <w:br/>
      </w:r>
      <w:r>
        <w:rPr>
          <w:rStyle w:val="VerbatimChar"/>
        </w:rPr>
        <w:t xml:space="preserve">═════════════════════════════════════════════════════════════</w:t>
      </w:r>
      <w:r>
        <w:br/>
      </w:r>
      <w:r>
        <w:br/>
      </w:r>
      <w:r>
        <w:rPr>
          <w:rStyle w:val="VerbatimChar"/>
        </w:rPr>
        <w:t xml:space="preserve">Indonesia    Treated as commodity</w:t>
      </w:r>
      <w:r>
        <w:br/>
      </w:r>
      <w:r>
        <w:rPr>
          <w:rStyle w:val="VerbatimChar"/>
        </w:rPr>
        <w:t xml:space="preserve">Malaysia     Recognition developing</w:t>
      </w:r>
      <w:r>
        <w:br/>
      </w:r>
      <w:r>
        <w:rPr>
          <w:rStyle w:val="VerbatimChar"/>
        </w:rPr>
        <w:t xml:space="preserve">Saudi Arabia No recognition</w:t>
      </w:r>
      <w:r>
        <w:br/>
      </w:r>
      <w:r>
        <w:rPr>
          <w:rStyle w:val="VerbatimChar"/>
        </w:rPr>
        <w:t xml:space="preserve">UAE          Specific framework + Islamic support</w:t>
      </w:r>
      <w:r>
        <w:br/>
      </w:r>
      <w:r>
        <w:rPr>
          <w:rStyle w:val="VerbatimChar"/>
        </w:rPr>
        <w:t xml:space="preserve">Bahrain      Prudential regulation developing</w:t>
      </w:r>
      <w:r>
        <w:br/>
      </w:r>
      <w:r>
        <w:br/>
      </w:r>
      <w:r>
        <w:rPr>
          <w:rStyle w:val="VerbatimChar"/>
        </w:rPr>
        <w:t xml:space="preserve">PROBLEM: No unified standard for stablecoin classification/requirements</w:t>
      </w:r>
    </w:p>
    <w:p>
      <w:pPr>
        <w:pStyle w:val="FirstParagraph"/>
      </w:pPr>
      <w:r>
        <w:rPr>
          <w:bCs/>
          <w:b/>
        </w:rPr>
        <w:t xml:space="preserve">Challenge 2: Islamic Digital Assets</w:t>
      </w:r>
    </w:p>
    <w:p>
      <w:pPr>
        <w:pStyle w:val="SourceCode"/>
      </w:pPr>
      <w:r>
        <w:rPr>
          <w:rStyle w:val="VerbatimChar"/>
        </w:rPr>
        <w:t xml:space="preserve">ISLAMIC DIGITAL ASSET FRAMEWORK</w:t>
      </w:r>
      <w:r>
        <w:br/>
      </w:r>
      <w:r>
        <w:rPr>
          <w:rStyle w:val="VerbatimChar"/>
        </w:rPr>
        <w:t xml:space="preserve">═════════════════════════════════════════════════════════════</w:t>
      </w:r>
      <w:r>
        <w:br/>
      </w:r>
      <w:r>
        <w:br/>
      </w:r>
      <w:r>
        <w:rPr>
          <w:rStyle w:val="VerbatimChar"/>
        </w:rPr>
        <w:t xml:space="preserve">Indonesia    MUI fatwa coordination (restrictive)</w:t>
      </w:r>
      <w:r>
        <w:br/>
      </w:r>
      <w:r>
        <w:rPr>
          <w:rStyle w:val="VerbatimChar"/>
        </w:rPr>
        <w:t xml:space="preserve">Malaysia     Sharia Board support (developing)</w:t>
      </w:r>
      <w:r>
        <w:br/>
      </w:r>
      <w:r>
        <w:rPr>
          <w:rStyle w:val="VerbatimChar"/>
        </w:rPr>
        <w:t xml:space="preserve">Saudi Arabia AAOIFI-aligned restriction</w:t>
      </w:r>
      <w:r>
        <w:br/>
      </w:r>
      <w:r>
        <w:rPr>
          <w:rStyle w:val="VerbatimChar"/>
        </w:rPr>
        <w:t xml:space="preserve">UAE          Explicit support (leading)</w:t>
      </w:r>
      <w:r>
        <w:br/>
      </w:r>
      <w:r>
        <w:rPr>
          <w:rStyle w:val="VerbatimChar"/>
        </w:rPr>
        <w:t xml:space="preserve">Bahrain      AAOIFI coordination (conservative)</w:t>
      </w:r>
      <w:r>
        <w:br/>
      </w:r>
      <w:r>
        <w:br/>
      </w:r>
      <w:r>
        <w:rPr>
          <w:rStyle w:val="VerbatimChar"/>
        </w:rPr>
        <w:t xml:space="preserve">PROBLEM: No unified Islamic digital asset standards or recognition</w:t>
      </w:r>
    </w:p>
    <w:p>
      <w:pPr>
        <w:pStyle w:val="FirstParagraph"/>
      </w:pPr>
      <w:r>
        <w:rPr>
          <w:bCs/>
          <w:b/>
        </w:rPr>
        <w:t xml:space="preserve">Challenge 3: Cross-Border Activity</w:t>
      </w:r>
    </w:p>
    <w:p>
      <w:pPr>
        <w:pStyle w:val="SourceCode"/>
      </w:pPr>
      <w:r>
        <w:rPr>
          <w:rStyle w:val="VerbatimChar"/>
        </w:rPr>
        <w:t xml:space="preserve">CROSS-BORDER TRANSACTION TREATMENT</w:t>
      </w:r>
      <w:r>
        <w:br/>
      </w:r>
      <w:r>
        <w:rPr>
          <w:rStyle w:val="VerbatimChar"/>
        </w:rPr>
        <w:t xml:space="preserve">═════════════════════════════════════════════════════════════</w:t>
      </w:r>
      <w:r>
        <w:br/>
      </w:r>
      <w:r>
        <w:br/>
      </w:r>
      <w:r>
        <w:rPr>
          <w:rStyle w:val="VerbatimChar"/>
        </w:rPr>
        <w:t xml:space="preserve">Indonesia    Capital control restrictions</w:t>
      </w:r>
      <w:r>
        <w:br/>
      </w:r>
      <w:r>
        <w:rPr>
          <w:rStyle w:val="VerbatimChar"/>
        </w:rPr>
        <w:t xml:space="preserve">Malaysia     Gradual framework development</w:t>
      </w:r>
      <w:r>
        <w:br/>
      </w:r>
      <w:r>
        <w:rPr>
          <w:rStyle w:val="VerbatimChar"/>
        </w:rPr>
        <w:t xml:space="preserve">Saudi Arabia Prohibited</w:t>
      </w:r>
      <w:r>
        <w:br/>
      </w:r>
      <w:r>
        <w:rPr>
          <w:rStyle w:val="VerbatimChar"/>
        </w:rPr>
        <w:t xml:space="preserve">UAE          Regulated international activity</w:t>
      </w:r>
      <w:r>
        <w:br/>
      </w:r>
      <w:r>
        <w:rPr>
          <w:rStyle w:val="VerbatimChar"/>
        </w:rPr>
        <w:t xml:space="preserve">Bahrain      Developing coordination</w:t>
      </w:r>
      <w:r>
        <w:br/>
      </w:r>
      <w:r>
        <w:br/>
      </w:r>
      <w:r>
        <w:rPr>
          <w:rStyle w:val="VerbatimChar"/>
        </w:rPr>
        <w:t xml:space="preserve">PROBLEM: No mechanisms for coordinated cross-border supervision</w:t>
      </w:r>
    </w:p>
    <w:bookmarkEnd w:id="260"/>
    <w:bookmarkStart w:id="261" w:name="identified-harmonization-gaps"/>
    <w:p>
      <w:pPr>
        <w:pStyle w:val="Heading3"/>
      </w:pPr>
      <w:r>
        <w:t xml:space="preserve">4.7.3 Identified Harmonization Gaps</w:t>
      </w:r>
    </w:p>
    <w:p>
      <w:pPr>
        <w:pStyle w:val="FirstParagraph"/>
      </w:pPr>
      <w:r>
        <w:rPr>
          <w:bCs/>
          <w:b/>
        </w:rPr>
        <w:t xml:space="preserve">Gap 1: Unified Definition</w:t>
      </w:r>
      <w:r>
        <w:t xml:space="preserve"> </w:t>
      </w:r>
      <w:r>
        <w:t xml:space="preserve">- No agreed-upon cryptocurrency definition across jurisdictions</w:t>
      </w:r>
      <w:r>
        <w:t xml:space="preserve"> </w:t>
      </w:r>
      <w:r>
        <w:t xml:space="preserve">- Different characterizations (commodity, asset, prohibited, regulated)</w:t>
      </w:r>
      <w:r>
        <w:t xml:space="preserve"> </w:t>
      </w:r>
      <w:r>
        <w:t xml:space="preserve">- Creates confusion and compliance challenges</w:t>
      </w:r>
      <w:r>
        <w:t xml:space="preserve"> </w:t>
      </w:r>
      <w:r>
        <w:t xml:space="preserve">- Prevents standardized treatment</w:t>
      </w:r>
    </w:p>
    <w:p>
      <w:pPr>
        <w:pStyle w:val="BodyText"/>
      </w:pPr>
      <w:r>
        <w:rPr>
          <w:bCs/>
          <w:b/>
        </w:rPr>
        <w:t xml:space="preserve">Gap 2: Islamic Principles Alignment</w:t>
      </w:r>
      <w:r>
        <w:t xml:space="preserve"> </w:t>
      </w:r>
      <w:r>
        <w:t xml:space="preserve">- Divergent approaches to Islamic finance integration</w:t>
      </w:r>
      <w:r>
        <w:t xml:space="preserve"> </w:t>
      </w:r>
      <w:r>
        <w:t xml:space="preserve">- No unified Islamic digital asset standards</w:t>
      </w:r>
      <w:r>
        <w:t xml:space="preserve"> </w:t>
      </w:r>
      <w:r>
        <w:t xml:space="preserve">- Inconsistent sharia compliance requirements</w:t>
      </w:r>
      <w:r>
        <w:t xml:space="preserve"> </w:t>
      </w:r>
      <w:r>
        <w:t xml:space="preserve">- Limited coordination among Islamic authorities</w:t>
      </w:r>
    </w:p>
    <w:p>
      <w:pPr>
        <w:pStyle w:val="BodyText"/>
      </w:pPr>
      <w:r>
        <w:rPr>
          <w:bCs/>
          <w:b/>
        </w:rPr>
        <w:t xml:space="preserve">Gap 3: Consumer Protection Standards</w:t>
      </w:r>
      <w:r>
        <w:t xml:space="preserve"> </w:t>
      </w:r>
      <w:r>
        <w:t xml:space="preserve">- Varying levels of investor/consumer protection</w:t>
      </w:r>
      <w:r>
        <w:t xml:space="preserve"> </w:t>
      </w:r>
      <w:r>
        <w:t xml:space="preserve">- Different KYC/AML requirements</w:t>
      </w:r>
      <w:r>
        <w:t xml:space="preserve"> </w:t>
      </w:r>
      <w:r>
        <w:t xml:space="preserve">- Inconsistent custody and fund protection standards</w:t>
      </w:r>
      <w:r>
        <w:t xml:space="preserve"> </w:t>
      </w:r>
      <w:r>
        <w:t xml:space="preserve">- No harmonized dispute resolution</w:t>
      </w:r>
    </w:p>
    <w:p>
      <w:pPr>
        <w:pStyle w:val="BodyText"/>
      </w:pPr>
      <w:r>
        <w:rPr>
          <w:bCs/>
          <w:b/>
        </w:rPr>
        <w:t xml:space="preserve">Gap 4: Institutional Coordination</w:t>
      </w:r>
      <w:r>
        <w:t xml:space="preserve"> </w:t>
      </w:r>
      <w:r>
        <w:t xml:space="preserve">- No coordinating body for Islamic financial regulation</w:t>
      </w:r>
      <w:r>
        <w:t xml:space="preserve"> </w:t>
      </w:r>
      <w:r>
        <w:t xml:space="preserve">- Limited communication between regulators</w:t>
      </w:r>
      <w:r>
        <w:t xml:space="preserve"> </w:t>
      </w:r>
      <w:r>
        <w:t xml:space="preserve">- No data sharing or supervisory coordination</w:t>
      </w:r>
      <w:r>
        <w:t xml:space="preserve"> </w:t>
      </w:r>
      <w:r>
        <w:t xml:space="preserve">- Absence of joint enforcement mechanisms</w:t>
      </w:r>
    </w:p>
    <w:p>
      <w:pPr>
        <w:pStyle w:val="BodyText"/>
      </w:pPr>
      <w:r>
        <w:rPr>
          <w:bCs/>
          <w:b/>
        </w:rPr>
        <w:t xml:space="preserve">Gap 5: Innovation Framework</w:t>
      </w:r>
      <w:r>
        <w:t xml:space="preserve"> </w:t>
      </w:r>
      <w:r>
        <w:t xml:space="preserve">- Disparate regulatory sandboxes and innovation approaches</w:t>
      </w:r>
      <w:r>
        <w:t xml:space="preserve"> </w:t>
      </w:r>
      <w:r>
        <w:t xml:space="preserve">- No coordinated Islamic fintech development</w:t>
      </w:r>
      <w:r>
        <w:t xml:space="preserve"> </w:t>
      </w:r>
      <w:r>
        <w:t xml:space="preserve">- Limited shared understanding of emerging technologies</w:t>
      </w:r>
      <w:r>
        <w:t xml:space="preserve"> </w:t>
      </w:r>
      <w:r>
        <w:t xml:space="preserve">- Inconsistent treatment of new asset types</w:t>
      </w:r>
    </w:p>
    <w:p>
      <w:r>
        <w:pict>
          <v:rect style="width:0;height:1.5pt" o:hralign="center" o:hrstd="t" o:hr="t"/>
        </w:pict>
      </w:r>
    </w:p>
    <w:bookmarkEnd w:id="261"/>
    <w:bookmarkEnd w:id="262"/>
    <w:bookmarkStart w:id="265" w:name="best-practices-and-regulatory-learning"/>
    <w:p>
      <w:pPr>
        <w:pStyle w:val="Heading2"/>
      </w:pPr>
      <w:r>
        <w:t xml:space="preserve">4.8 Best Practices and Regulatory Learning</w:t>
      </w:r>
    </w:p>
    <w:bookmarkStart w:id="263" w:name="regulatory-best-practices"/>
    <w:p>
      <w:pPr>
        <w:pStyle w:val="Heading3"/>
      </w:pPr>
      <w:r>
        <w:t xml:space="preserve">4.8.1 Regulatory Best Practices</w:t>
      </w:r>
    </w:p>
    <w:p>
      <w:pPr>
        <w:pStyle w:val="FirstParagraph"/>
      </w:pPr>
      <w:r>
        <w:rPr>
          <w:bCs/>
          <w:b/>
        </w:rPr>
        <w:t xml:space="preserve">From UAE (VARA): Innovation Enablement with Oversight</w:t>
      </w:r>
    </w:p>
    <w:p>
      <w:pPr>
        <w:pStyle w:val="BodyText"/>
      </w:pPr>
      <w:r>
        <w:t xml:space="preserve">Strengths to adopt:</w:t>
      </w:r>
      <w:r>
        <w:t xml:space="preserve"> </w:t>
      </w:r>
      <w:r>
        <w:t xml:space="preserve">- Comprehensive licensing framework for market participants</w:t>
      </w:r>
      <w:r>
        <w:t xml:space="preserve"> </w:t>
      </w:r>
      <w:r>
        <w:t xml:space="preserve">- Regulatory sandbox for experimentation</w:t>
      </w:r>
      <w:r>
        <w:t xml:space="preserve"> </w:t>
      </w:r>
      <w:r>
        <w:t xml:space="preserve">- Clear pathway from innovation to full licensing</w:t>
      </w:r>
      <w:r>
        <w:t xml:space="preserve"> </w:t>
      </w:r>
      <w:r>
        <w:t xml:space="preserve">- Support for Islamic digital asset development</w:t>
      </w:r>
      <w:r>
        <w:t xml:space="preserve"> </w:t>
      </w:r>
      <w:r>
        <w:t xml:space="preserve">- Proportionate compliance requirements</w:t>
      </w:r>
    </w:p>
    <w:p>
      <w:pPr>
        <w:pStyle w:val="BodyText"/>
      </w:pPr>
      <w:r>
        <w:rPr>
          <w:bCs/>
          <w:b/>
        </w:rPr>
        <w:t xml:space="preserve">From Malaysia (BNM): Balanced Regulation</w:t>
      </w:r>
    </w:p>
    <w:p>
      <w:pPr>
        <w:pStyle w:val="BodyText"/>
      </w:pPr>
      <w:r>
        <w:t xml:space="preserve">Strengths to adopt:</w:t>
      </w:r>
      <w:r>
        <w:t xml:space="preserve"> </w:t>
      </w:r>
      <w:r>
        <w:t xml:space="preserve">- Recognition of digital assets with regulatory framework</w:t>
      </w:r>
      <w:r>
        <w:t xml:space="preserve"> </w:t>
      </w:r>
      <w:r>
        <w:t xml:space="preserve">- Graduated approach based on risk</w:t>
      </w:r>
      <w:r>
        <w:t xml:space="preserve"> </w:t>
      </w:r>
      <w:r>
        <w:t xml:space="preserve">- Sharia Board coordination for Islamic compliance</w:t>
      </w:r>
      <w:r>
        <w:t xml:space="preserve"> </w:t>
      </w:r>
      <w:r>
        <w:t xml:space="preserve">- Innovation sandbox specifically for digital assets</w:t>
      </w:r>
      <w:r>
        <w:t xml:space="preserve"> </w:t>
      </w:r>
      <w:r>
        <w:t xml:space="preserve">- Clear licensing and supervision standards</w:t>
      </w:r>
    </w:p>
    <w:p>
      <w:pPr>
        <w:pStyle w:val="BodyText"/>
      </w:pPr>
      <w:r>
        <w:rPr>
          <w:bCs/>
          <w:b/>
        </w:rPr>
        <w:t xml:space="preserve">From Bahrain (CBB): Prudential Framework</w:t>
      </w:r>
    </w:p>
    <w:p>
      <w:pPr>
        <w:pStyle w:val="BodyText"/>
      </w:pPr>
      <w:r>
        <w:t xml:space="preserve">Strengths to adopt:</w:t>
      </w:r>
      <w:r>
        <w:t xml:space="preserve"> </w:t>
      </w:r>
      <w:r>
        <w:t xml:space="preserve">- Capital adequacy requirements</w:t>
      </w:r>
      <w:r>
        <w:t xml:space="preserve"> </w:t>
      </w:r>
      <w:r>
        <w:t xml:space="preserve">- Comprehensive governance standards</w:t>
      </w:r>
      <w:r>
        <w:t xml:space="preserve"> </w:t>
      </w:r>
      <w:r>
        <w:t xml:space="preserve">- Risk-based supervisory approach</w:t>
      </w:r>
      <w:r>
        <w:t xml:space="preserve"> </w:t>
      </w:r>
      <w:r>
        <w:t xml:space="preserve">- AAOIFI coordination</w:t>
      </w:r>
      <w:r>
        <w:t xml:space="preserve"> </w:t>
      </w:r>
      <w:r>
        <w:t xml:space="preserve">- Consumer asset protection mechanisms</w:t>
      </w:r>
    </w:p>
    <w:p>
      <w:pPr>
        <w:pStyle w:val="BodyText"/>
      </w:pPr>
      <w:r>
        <w:rPr>
          <w:bCs/>
          <w:b/>
        </w:rPr>
        <w:t xml:space="preserve">From Indonesia (OJK): Consumer Protection</w:t>
      </w:r>
    </w:p>
    <w:p>
      <w:pPr>
        <w:pStyle w:val="BodyText"/>
      </w:pPr>
      <w:r>
        <w:t xml:space="preserve">Strengths to adopt:</w:t>
      </w:r>
      <w:r>
        <w:t xml:space="preserve"> </w:t>
      </w:r>
      <w:r>
        <w:t xml:space="preserve">- Leverage restrictions protecting retail investors</w:t>
      </w:r>
      <w:r>
        <w:t xml:space="preserve"> </w:t>
      </w:r>
      <w:r>
        <w:t xml:space="preserve">- Comprehensive KYC/AML requirements</w:t>
      </w:r>
      <w:r>
        <w:t xml:space="preserve"> </w:t>
      </w:r>
      <w:r>
        <w:t xml:space="preserve">- Market manipulation prevention standards</w:t>
      </w:r>
      <w:r>
        <w:t xml:space="preserve"> </w:t>
      </w:r>
      <w:r>
        <w:t xml:space="preserve">- MUI fatwa coordination recognizing Islamic concerns</w:t>
      </w:r>
      <w:r>
        <w:t xml:space="preserve"> </w:t>
      </w:r>
      <w:r>
        <w:t xml:space="preserve">- Clear limitations preventing excessive speculation</w:t>
      </w:r>
    </w:p>
    <w:bookmarkEnd w:id="263"/>
    <w:bookmarkStart w:id="264" w:name="regulatory-integration-recommendations"/>
    <w:p>
      <w:pPr>
        <w:pStyle w:val="Heading3"/>
      </w:pPr>
      <w:r>
        <w:t xml:space="preserve">4.8.2 Regulatory Integration Recommendations</w:t>
      </w:r>
    </w:p>
    <w:p>
      <w:pPr>
        <w:pStyle w:val="FirstParagraph"/>
      </w:pPr>
      <w:r>
        <w:rPr>
          <w:bCs/>
          <w:b/>
        </w:rPr>
        <w:t xml:space="preserve">For Restrictive Jurisdictions (Saudi Arabia, Indonesia):</w:t>
      </w:r>
    </w:p>
    <w:p>
      <w:pPr>
        <w:pStyle w:val="BodyText"/>
      </w:pPr>
      <w:r>
        <w:t xml:space="preserve">Consider:</w:t>
      </w:r>
      <w:r>
        <w:t xml:space="preserve"> </w:t>
      </w:r>
      <w:r>
        <w:t xml:space="preserve">- Regulatory flexibility for properly-structured digital assets</w:t>
      </w:r>
      <w:r>
        <w:t xml:space="preserve"> </w:t>
      </w:r>
      <w:r>
        <w:t xml:space="preserve">- Recognition of asset-backed cryptocurrencies</w:t>
      </w:r>
      <w:r>
        <w:t xml:space="preserve"> </w:t>
      </w:r>
      <w:r>
        <w:t xml:space="preserve">- Support for Islamic stablecoin development</w:t>
      </w:r>
      <w:r>
        <w:t xml:space="preserve"> </w:t>
      </w:r>
      <w:r>
        <w:t xml:space="preserve">- Innovation sandbox for Islamic fintech</w:t>
      </w:r>
      <w:r>
        <w:t xml:space="preserve"> </w:t>
      </w:r>
      <w:r>
        <w:t xml:space="preserve">- Graduated approach based on risk type</w:t>
      </w:r>
    </w:p>
    <w:p>
      <w:pPr>
        <w:pStyle w:val="BodyText"/>
      </w:pPr>
      <w:r>
        <w:rPr>
          <w:bCs/>
          <w:b/>
        </w:rPr>
        <w:t xml:space="preserve">For Permissive Jurisdictions (UAE):</w:t>
      </w:r>
    </w:p>
    <w:p>
      <w:pPr>
        <w:pStyle w:val="BodyText"/>
      </w:pPr>
      <w:r>
        <w:t xml:space="preserve">Consider:</w:t>
      </w:r>
      <w:r>
        <w:t xml:space="preserve"> </w:t>
      </w:r>
      <w:r>
        <w:t xml:space="preserve">- Strengthening Islamic digital asset standards</w:t>
      </w:r>
      <w:r>
        <w:t xml:space="preserve"> </w:t>
      </w:r>
      <w:r>
        <w:t xml:space="preserve">- Enhanced consumer protection mechanisms</w:t>
      </w:r>
      <w:r>
        <w:t xml:space="preserve"> </w:t>
      </w:r>
      <w:r>
        <w:t xml:space="preserve">- Supervisor capacity development</w:t>
      </w:r>
      <w:r>
        <w:t xml:space="preserve"> </w:t>
      </w:r>
      <w:r>
        <w:t xml:space="preserve">- International coordination frameworks</w:t>
      </w:r>
      <w:r>
        <w:t xml:space="preserve"> </w:t>
      </w:r>
      <w:r>
        <w:t xml:space="preserve">- Systemic risk monitoring</w:t>
      </w:r>
    </w:p>
    <w:p>
      <w:pPr>
        <w:pStyle w:val="BodyText"/>
      </w:pPr>
      <w:r>
        <w:rPr>
          <w:bCs/>
          <w:b/>
        </w:rPr>
        <w:t xml:space="preserve">For Balanced Jurisdictions (Malaysia, Bahrain):</w:t>
      </w:r>
    </w:p>
    <w:p>
      <w:pPr>
        <w:pStyle w:val="BodyText"/>
      </w:pPr>
      <w:r>
        <w:t xml:space="preserve">Consider:</w:t>
      </w:r>
      <w:r>
        <w:t xml:space="preserve"> </w:t>
      </w:r>
      <w:r>
        <w:t xml:space="preserve">- Expanding innovation sandbox programs</w:t>
      </w:r>
      <w:r>
        <w:t xml:space="preserve"> </w:t>
      </w:r>
      <w:r>
        <w:t xml:space="preserve">- Clear Islamic digital asset pathways</w:t>
      </w:r>
      <w:r>
        <w:t xml:space="preserve"> </w:t>
      </w:r>
      <w:r>
        <w:t xml:space="preserve">- Enhanced supervision capacity</w:t>
      </w:r>
      <w:r>
        <w:t xml:space="preserve"> </w:t>
      </w:r>
      <w:r>
        <w:t xml:space="preserve">- Regional coordination leadership</w:t>
      </w:r>
      <w:r>
        <w:t xml:space="preserve"> </w:t>
      </w:r>
      <w:r>
        <w:t xml:space="preserve">- Practical implementation of frameworks</w:t>
      </w:r>
    </w:p>
    <w:p>
      <w:r>
        <w:pict>
          <v:rect style="width:0;height:1.5pt" o:hralign="center" o:hrstd="t" o:hr="t"/>
        </w:pict>
      </w:r>
    </w:p>
    <w:bookmarkEnd w:id="264"/>
    <w:bookmarkEnd w:id="265"/>
    <w:bookmarkStart w:id="268" w:name="chapter-conclusion-2"/>
    <w:p>
      <w:pPr>
        <w:pStyle w:val="Heading2"/>
      </w:pPr>
      <w:r>
        <w:t xml:space="preserve">4.9 Chapter Conclusion</w:t>
      </w:r>
    </w:p>
    <w:bookmarkStart w:id="266" w:name="summary-of-regulatory-landscape"/>
    <w:p>
      <w:pPr>
        <w:pStyle w:val="Heading3"/>
      </w:pPr>
      <w:r>
        <w:t xml:space="preserve">Summary of Regulatory Landscape</w:t>
      </w:r>
    </w:p>
    <w:p>
      <w:pPr>
        <w:pStyle w:val="FirstParagraph"/>
      </w:pPr>
      <w:r>
        <w:t xml:space="preserve">This chapter has documented cryptocurrency regulatory approaches across five Islamic jurisdictions, revealing:</w:t>
      </w:r>
    </w:p>
    <w:p>
      <w:pPr>
        <w:pStyle w:val="BodyText"/>
      </w:pPr>
      <w:r>
        <w:rPr>
          <w:bCs/>
          <w:b/>
        </w:rPr>
        <w:t xml:space="preserve">Regulatory Diversity:</w:t>
      </w:r>
      <w:r>
        <w:t xml:space="preserve"> </w:t>
      </w:r>
      <w:r>
        <w:t xml:space="preserve">- Spectrum from prohibition (Saudi Arabia) to comprehensive regulation (UAE)</w:t>
      </w:r>
      <w:r>
        <w:t xml:space="preserve"> </w:t>
      </w:r>
      <w:r>
        <w:t xml:space="preserve">- Different characterizations and legal statuses</w:t>
      </w:r>
      <w:r>
        <w:t xml:space="preserve"> </w:t>
      </w:r>
      <w:r>
        <w:t xml:space="preserve">- Varying levels of innovation encouragement</w:t>
      </w:r>
      <w:r>
        <w:t xml:space="preserve"> </w:t>
      </w:r>
      <w:r>
        <w:t xml:space="preserve">- Inconsistent Islamic finance integration</w:t>
      </w:r>
    </w:p>
    <w:p>
      <w:pPr>
        <w:pStyle w:val="BodyText"/>
      </w:pPr>
      <w:r>
        <w:rPr>
          <w:bCs/>
          <w:b/>
        </w:rPr>
        <w:t xml:space="preserve">Fundamental Gaps:</w:t>
      </w:r>
      <w:r>
        <w:t xml:space="preserve"> </w:t>
      </w:r>
      <w:r>
        <w:t xml:space="preserve">- No unified cryptocurrency definition or classification</w:t>
      </w:r>
      <w:r>
        <w:t xml:space="preserve"> </w:t>
      </w:r>
      <w:r>
        <w:t xml:space="preserve">- Absent coordinating mechanism for Islamic financial regulation</w:t>
      </w:r>
      <w:r>
        <w:t xml:space="preserve"> </w:t>
      </w:r>
      <w:r>
        <w:t xml:space="preserve">- Divergent Islamic digital asset approaches</w:t>
      </w:r>
      <w:r>
        <w:t xml:space="preserve"> </w:t>
      </w:r>
      <w:r>
        <w:t xml:space="preserve">- Limited cross-border supervisory coordination</w:t>
      </w:r>
      <w:r>
        <w:t xml:space="preserve"> </w:t>
      </w:r>
      <w:r>
        <w:t xml:space="preserve">- Inconsistent consumer protection standards</w:t>
      </w:r>
    </w:p>
    <w:p>
      <w:pPr>
        <w:pStyle w:val="BodyText"/>
      </w:pPr>
      <w:r>
        <w:rPr>
          <w:bCs/>
          <w:b/>
        </w:rPr>
        <w:t xml:space="preserve">Strategic Differentiation:</w:t>
      </w:r>
      <w:r>
        <w:t xml:space="preserve"> </w:t>
      </w:r>
      <w:r>
        <w:t xml:space="preserve">- UAE explicitly positioning as Islamic fintech innovation hub</w:t>
      </w:r>
      <w:r>
        <w:t xml:space="preserve"> </w:t>
      </w:r>
      <w:r>
        <w:t xml:space="preserve">- Malaysia developing balanced innovation framework</w:t>
      </w:r>
      <w:r>
        <w:t xml:space="preserve"> </w:t>
      </w:r>
      <w:r>
        <w:t xml:space="preserve">- Bahrain maintaining prudential, risk-managed approach</w:t>
      </w:r>
      <w:r>
        <w:t xml:space="preserve"> </w:t>
      </w:r>
      <w:r>
        <w:t xml:space="preserve">- Indonesia protecting consumers through restrictive commodity classification</w:t>
      </w:r>
      <w:r>
        <w:t xml:space="preserve"> </w:t>
      </w:r>
      <w:r>
        <w:t xml:space="preserve">- Saudi Arabia maintaining strict alignment with Islamic principles through prohibition</w:t>
      </w:r>
    </w:p>
    <w:p>
      <w:pPr>
        <w:pStyle w:val="BodyText"/>
      </w:pPr>
      <w:r>
        <w:rPr>
          <w:bCs/>
          <w:b/>
        </w:rPr>
        <w:t xml:space="preserve">Key Finding:</w:t>
      </w:r>
      <w:r>
        <w:t xml:space="preserve"> </w:t>
      </w:r>
      <w:r>
        <w:t xml:space="preserve">The absence of coordinated Islamic financial regulation of cryptocurrency creates opportunities for innovation and risks for systemic stability and consumer protection.</w:t>
      </w:r>
    </w:p>
    <w:bookmarkEnd w:id="266"/>
    <w:bookmarkStart w:id="267" w:name="implications-for-chapter-5"/>
    <w:p>
      <w:pPr>
        <w:pStyle w:val="Heading3"/>
      </w:pPr>
      <w:r>
        <w:t xml:space="preserve">Implications for Chapter 5</w:t>
      </w:r>
    </w:p>
    <w:p>
      <w:pPr>
        <w:pStyle w:val="FirstParagraph"/>
      </w:pPr>
      <w:r>
        <w:t xml:space="preserve">The regulatory analysis establishes foundation for Chapter 5’s task: developing unified cryptocurrency classification framework integrating:</w:t>
      </w:r>
      <w:r>
        <w:t xml:space="preserve"> </w:t>
      </w:r>
      <w:r>
        <w:t xml:space="preserve">- Islamic legal principles (Chapter 2: Maqasid Shariah)</w:t>
      </w:r>
      <w:r>
        <w:t xml:space="preserve"> </w:t>
      </w:r>
      <w:r>
        <w:t xml:space="preserve">- Jurisprudential positions (Chapter 3: Islamic authorities)</w:t>
      </w:r>
      <w:r>
        <w:t xml:space="preserve"> </w:t>
      </w:r>
      <w:r>
        <w:t xml:space="preserve">- Regulatory best practices (Chapter 4: Comparative analysis)</w:t>
      </w:r>
    </w:p>
    <w:p>
      <w:pPr>
        <w:pStyle w:val="BodyText"/>
      </w:pPr>
      <w:r>
        <w:t xml:space="preserve">This integrated framework will address regulatory fragmentation identified in this chapter and propose coordinated Islamic approach to cryptocurrency regulation.</w:t>
      </w:r>
    </w:p>
    <w:bookmarkEnd w:id="267"/>
    <w:bookmarkEnd w:id="268"/>
    <w:bookmarkStart w:id="273" w:name="policy-implications-for-regulators-2"/>
    <w:p>
      <w:pPr>
        <w:pStyle w:val="Heading2"/>
      </w:pPr>
      <w:r>
        <w:t xml:space="preserve">4.10 Policy Implications for Regulators</w:t>
      </w:r>
    </w:p>
    <w:p>
      <w:pPr>
        <w:pStyle w:val="FirstParagraph"/>
      </w:pPr>
      <w:r>
        <w:t xml:space="preserve">The comparative regulatory analysis reveals that regulatory fragmentation reflects legitimate policy differentiation rather than regulatory failure. However, fragmentation also creates coordination opportunities. Regulators should understand their own policy priorities and identify harmonization pathways consistent with their approach.</w:t>
      </w:r>
    </w:p>
    <w:bookmarkStart w:id="269" w:name="key-finding-2"/>
    <w:p>
      <w:pPr>
        <w:pStyle w:val="Heading3"/>
      </w:pPr>
      <w:r>
        <w:t xml:space="preserve">Key Finding</w:t>
      </w:r>
    </w:p>
    <w:p>
      <w:pPr>
        <w:pStyle w:val="FirstParagraph"/>
      </w:pPr>
      <w:r>
        <w:t xml:space="preserve">Regulatory variation reflects legitimate policy priorities (consumer protection vs. innovation vs. stability vs. monetary control). Harmonization should align policies where possible while accommodating legitimate differentiation.</w:t>
      </w:r>
    </w:p>
    <w:bookmarkEnd w:id="269"/>
    <w:bookmarkStart w:id="270" w:name="recommended-regulator-actions-2"/>
    <w:p>
      <w:pPr>
        <w:pStyle w:val="Heading3"/>
      </w:pPr>
      <w:r>
        <w:t xml:space="preserve">Recommended Regulator Actions</w:t>
      </w:r>
    </w:p>
    <w:p>
      <w:pPr>
        <w:pStyle w:val="FirstParagraph"/>
      </w:pPr>
      <w:r>
        <w:rPr>
          <w:bCs/>
          <w:b/>
        </w:rPr>
        <w:t xml:space="preserve">Action 1: Explicitly Identify Your Regulatory Philosophy</w:t>
      </w:r>
      <w:r>
        <w:t xml:space="preserve"> </w:t>
      </w:r>
      <w:r>
        <w:t xml:space="preserve">-</w:t>
      </w:r>
      <w:r>
        <w:t xml:space="preserve"> </w:t>
      </w:r>
      <w:r>
        <w:rPr>
          <w:bCs/>
          <w:b/>
        </w:rPr>
        <w:t xml:space="preserve">Consumer Protection Focus (Indonesia Model):</w:t>
      </w:r>
      <w:r>
        <w:t xml:space="preserve"> </w:t>
      </w:r>
      <w:r>
        <w:t xml:space="preserve">Emphasize disclosure requirements, retail restrictions, institutional safeguards</w:t>
      </w:r>
      <w:r>
        <w:t xml:space="preserve"> </w:t>
      </w:r>
      <w:r>
        <w:t xml:space="preserve">-</w:t>
      </w:r>
      <w:r>
        <w:t xml:space="preserve"> </w:t>
      </w:r>
      <w:r>
        <w:rPr>
          <w:bCs/>
          <w:b/>
        </w:rPr>
        <w:t xml:space="preserve">Innovation Focus (Malaysia Model):</w:t>
      </w:r>
      <w:r>
        <w:t xml:space="preserve"> </w:t>
      </w:r>
      <w:r>
        <w:t xml:space="preserve">Emphasize sandbox programs, clear compliance pathways, regulatory certainty</w:t>
      </w:r>
      <w:r>
        <w:t xml:space="preserve"> </w:t>
      </w:r>
      <w:r>
        <w:t xml:space="preserve">-</w:t>
      </w:r>
      <w:r>
        <w:t xml:space="preserve"> </w:t>
      </w:r>
      <w:r>
        <w:rPr>
          <w:bCs/>
          <w:b/>
        </w:rPr>
        <w:t xml:space="preserve">Stability Focus (Bahrain Model):</w:t>
      </w:r>
      <w:r>
        <w:t xml:space="preserve"> </w:t>
      </w:r>
      <w:r>
        <w:t xml:space="preserve">Emphasize prudential requirements, risk management, systemic risk monitoring</w:t>
      </w:r>
      <w:r>
        <w:t xml:space="preserve"> </w:t>
      </w:r>
      <w:r>
        <w:t xml:space="preserve">-</w:t>
      </w:r>
      <w:r>
        <w:t xml:space="preserve"> </w:t>
      </w:r>
      <w:r>
        <w:rPr>
          <w:bCs/>
          <w:b/>
        </w:rPr>
        <w:t xml:space="preserve">Monetary Control Focus (Saudi Arabia Model):</w:t>
      </w:r>
      <w:r>
        <w:t xml:space="preserve"> </w:t>
      </w:r>
      <w:r>
        <w:t xml:space="preserve">Emphasize CBDC development, controlled institutional access, spillover prevention</w:t>
      </w:r>
    </w:p>
    <w:p>
      <w:pPr>
        <w:pStyle w:val="BodyText"/>
      </w:pPr>
      <w:r>
        <w:rPr>
          <w:bCs/>
          <w:b/>
        </w:rPr>
        <w:t xml:space="preserve">Action 2: Design Minimum Standards Consistent with Your Philosophy</w:t>
      </w:r>
      <w:r>
        <w:t xml:space="preserve"> </w:t>
      </w:r>
      <w:r>
        <w:t xml:space="preserve">- Consumer protection approach → stricter backing requirements, lower volatility tolerance, institutional-only access</w:t>
      </w:r>
      <w:r>
        <w:t xml:space="preserve"> </w:t>
      </w:r>
      <w:r>
        <w:t xml:space="preserve">- Innovation approach → clearer compliance pathways, graduated regulatory requirements, sandbox access</w:t>
      </w:r>
      <w:r>
        <w:t xml:space="preserve"> </w:t>
      </w:r>
      <w:r>
        <w:t xml:space="preserve">- Stability approach → prudential capital requirements, stress-testing, enhanced monitoring</w:t>
      </w:r>
      <w:r>
        <w:t xml:space="preserve"> </w:t>
      </w:r>
      <w:r>
        <w:t xml:space="preserve">- Monetary control approach → restricted access, CBDC prioritization, spillover limits</w:t>
      </w:r>
    </w:p>
    <w:p>
      <w:pPr>
        <w:pStyle w:val="BodyText"/>
      </w:pPr>
      <w:r>
        <w:rPr>
          <w:bCs/>
          <w:b/>
        </w:rPr>
        <w:t xml:space="preserve">Action 3: Join IIFRC Coordination Mechanism Matching Your Regulatory Philosophy</w:t>
      </w:r>
      <w:r>
        <w:t xml:space="preserve"> </w:t>
      </w:r>
      <w:r>
        <w:t xml:space="preserve">- Three implementation models available: Full Integration (Malaysia), Conditional (Indonesia), Conservative (Saudi Arabia)</w:t>
      </w:r>
      <w:r>
        <w:t xml:space="preserve"> </w:t>
      </w:r>
      <w:r>
        <w:t xml:space="preserve">- Select model reflecting your regulatory approach</w:t>
      </w:r>
      <w:r>
        <w:t xml:space="preserve"> </w:t>
      </w:r>
      <w:r>
        <w:t xml:space="preserve">- Benefit from shared standard-setting while maintaining policy flexibility</w:t>
      </w:r>
    </w:p>
    <w:p>
      <w:pPr>
        <w:pStyle w:val="BodyText"/>
      </w:pPr>
      <w:r>
        <w:rPr>
          <w:bCs/>
          <w:b/>
        </w:rPr>
        <w:t xml:space="preserve">Action 4: Establish Information-Sharing and Coordination with Aligned Jurisdictions</w:t>
      </w:r>
      <w:r>
        <w:t xml:space="preserve"> </w:t>
      </w:r>
      <w:r>
        <w:t xml:space="preserve">- Consumer protection regulators: Coordinate with Indonesia, other consumer-focused jurisdictions</w:t>
      </w:r>
      <w:r>
        <w:t xml:space="preserve"> </w:t>
      </w:r>
      <w:r>
        <w:t xml:space="preserve">- Innovation regulators: Coordinate with Malaysia, UAE for sandbox learning and best practice sharing</w:t>
      </w:r>
      <w:r>
        <w:t xml:space="preserve"> </w:t>
      </w:r>
      <w:r>
        <w:t xml:space="preserve">- Stability regulators: Coordinate with Bahrain, other prudentially-focused regulators</w:t>
      </w:r>
      <w:r>
        <w:t xml:space="preserve"> </w:t>
      </w:r>
      <w:r>
        <w:t xml:space="preserve">- Monetary control regulators: Coordinate with Saudi Arabia on CBDC integration</w:t>
      </w:r>
    </w:p>
    <w:bookmarkEnd w:id="270"/>
    <w:bookmarkStart w:id="271" w:name="expected-regulatory-outcomes-2"/>
    <w:p>
      <w:pPr>
        <w:pStyle w:val="Heading3"/>
      </w:pPr>
      <w:r>
        <w:t xml:space="preserve">Expected Regulatory Outcomes</w:t>
      </w:r>
    </w:p>
    <w:p>
      <w:pPr>
        <w:numPr>
          <w:ilvl w:val="0"/>
          <w:numId w:val="1115"/>
        </w:numPr>
        <w:pStyle w:val="Compact"/>
      </w:pPr>
      <w:r>
        <w:rPr>
          <w:bCs/>
          <w:b/>
        </w:rPr>
        <w:t xml:space="preserve">Coherence:</w:t>
      </w:r>
      <w:r>
        <w:t xml:space="preserve"> </w:t>
      </w:r>
      <w:r>
        <w:t xml:space="preserve">Cryptocurrency regulation reflects and advances your regulatory philosophy</w:t>
      </w:r>
    </w:p>
    <w:p>
      <w:pPr>
        <w:numPr>
          <w:ilvl w:val="0"/>
          <w:numId w:val="1115"/>
        </w:numPr>
        <w:pStyle w:val="Compact"/>
      </w:pPr>
      <w:r>
        <w:rPr>
          <w:bCs/>
          <w:b/>
        </w:rPr>
        <w:t xml:space="preserve">Efficiency:</w:t>
      </w:r>
      <w:r>
        <w:t xml:space="preserve"> </w:t>
      </w:r>
      <w:r>
        <w:t xml:space="preserve">Join coordination mechanisms to leverage shared expertise rather than duplicating regulatory work</w:t>
      </w:r>
    </w:p>
    <w:p>
      <w:pPr>
        <w:numPr>
          <w:ilvl w:val="0"/>
          <w:numId w:val="1115"/>
        </w:numPr>
        <w:pStyle w:val="Compact"/>
      </w:pPr>
      <w:r>
        <w:rPr>
          <w:bCs/>
          <w:b/>
        </w:rPr>
        <w:t xml:space="preserve">Legitimacy:</w:t>
      </w:r>
      <w:r>
        <w:t xml:space="preserve"> </w:t>
      </w:r>
      <w:r>
        <w:t xml:space="preserve">Transparent communication of regulatory philosophy increases stakeholder understanding</w:t>
      </w:r>
    </w:p>
    <w:p>
      <w:pPr>
        <w:numPr>
          <w:ilvl w:val="0"/>
          <w:numId w:val="1115"/>
        </w:numPr>
        <w:pStyle w:val="Compact"/>
      </w:pPr>
      <w:r>
        <w:rPr>
          <w:bCs/>
          <w:b/>
        </w:rPr>
        <w:t xml:space="preserve">Effectiveness:</w:t>
      </w:r>
      <w:r>
        <w:t xml:space="preserve"> </w:t>
      </w:r>
      <w:r>
        <w:t xml:space="preserve">Policy differentiation enables tailored approach to local circumstances</w:t>
      </w:r>
    </w:p>
    <w:bookmarkEnd w:id="271"/>
    <w:bookmarkStart w:id="272" w:name="implementation-pathway-1"/>
    <w:p>
      <w:pPr>
        <w:pStyle w:val="Heading3"/>
      </w:pPr>
      <w:r>
        <w:t xml:space="preserve">Implementation Pathway</w:t>
      </w:r>
    </w:p>
    <w:p>
      <w:pPr>
        <w:pStyle w:val="FirstParagraph"/>
      </w:pPr>
      <w:r>
        <w:rPr>
          <w:bCs/>
          <w:b/>
        </w:rPr>
        <w:t xml:space="preserve">Phase 1 (Months 1-3):</w:t>
      </w:r>
      <w:r>
        <w:t xml:space="preserve"> </w:t>
      </w:r>
      <w:r>
        <w:t xml:space="preserve">Clarify regulatory philosophy; identify core policy objectives</w:t>
      </w:r>
      <w:r>
        <w:t xml:space="preserve"> </w:t>
      </w:r>
      <w:r>
        <w:rPr>
          <w:bCs/>
          <w:b/>
        </w:rPr>
        <w:t xml:space="preserve">Phase 2 (Months 4-6):</w:t>
      </w:r>
      <w:r>
        <w:t xml:space="preserve"> </w:t>
      </w:r>
      <w:r>
        <w:t xml:space="preserve">Design standards aligned with philosophy; establish thresholds</w:t>
      </w:r>
      <w:r>
        <w:t xml:space="preserve"> </w:t>
      </w:r>
      <w:r>
        <w:rPr>
          <w:bCs/>
          <w:b/>
        </w:rPr>
        <w:t xml:space="preserve">Phase 3 (Months 7-12):</w:t>
      </w:r>
      <w:r>
        <w:t xml:space="preserve"> </w:t>
      </w:r>
      <w:r>
        <w:t xml:space="preserve">Join IIFRC; identify aligned jurisdictions for cooperation</w:t>
      </w:r>
      <w:r>
        <w:t xml:space="preserve"> </w:t>
      </w:r>
      <w:r>
        <w:rPr>
          <w:bCs/>
          <w:b/>
        </w:rPr>
        <w:t xml:space="preserve">Phase 4 (Months 13-24):</w:t>
      </w:r>
      <w:r>
        <w:t xml:space="preserve"> </w:t>
      </w:r>
      <w:r>
        <w:t xml:space="preserve">Participate in coordination and mutual learning; adjust standards as evidence accumulates</w:t>
      </w:r>
    </w:p>
    <w:p>
      <w:r>
        <w:pict>
          <v:rect style="width:0;height:1.5pt" o:hralign="center" o:hrstd="t" o:hr="t"/>
        </w:pict>
      </w:r>
    </w:p>
    <w:bookmarkEnd w:id="272"/>
    <w:bookmarkEnd w:id="273"/>
    <w:bookmarkStart w:id="280" w:name="references-for-chapter-4"/>
    <w:p>
      <w:pPr>
        <w:pStyle w:val="Heading2"/>
      </w:pPr>
      <w:r>
        <w:t xml:space="preserve">References for Chapter 4</w:t>
      </w:r>
    </w:p>
    <w:bookmarkStart w:id="274" w:name="indonesian-regulation"/>
    <w:p>
      <w:pPr>
        <w:pStyle w:val="Heading3"/>
      </w:pPr>
      <w:r>
        <w:t xml:space="preserve">Indonesian Regulation</w:t>
      </w:r>
    </w:p>
    <w:p>
      <w:pPr>
        <w:numPr>
          <w:ilvl w:val="0"/>
          <w:numId w:val="1116"/>
        </w:numPr>
        <w:pStyle w:val="Compact"/>
      </w:pPr>
      <w:r>
        <w:t xml:space="preserve">OJK (Otoritas Jasa Keuangan). (2024).</w:t>
      </w:r>
      <w:r>
        <w:t xml:space="preserve"> </w:t>
      </w:r>
      <w:r>
        <w:rPr>
          <w:iCs/>
          <w:i/>
        </w:rPr>
        <w:t xml:space="preserve">Regulation No. 27/2024 on Digital Financial Assets</w:t>
      </w:r>
      <w:r>
        <w:t xml:space="preserve"> </w:t>
      </w:r>
      <w:r>
        <w:t xml:space="preserve">(amended by POJK No. 23/2025, December 2025). Jakarta: OJK Publications.</w:t>
      </w:r>
    </w:p>
    <w:p>
      <w:pPr>
        <w:numPr>
          <w:ilvl w:val="0"/>
          <w:numId w:val="1116"/>
        </w:numPr>
        <w:pStyle w:val="Compact"/>
      </w:pPr>
      <w:r>
        <w:t xml:space="preserve">OJK. (2024).</w:t>
      </w:r>
      <w:r>
        <w:t xml:space="preserve"> </w:t>
      </w:r>
      <w:r>
        <w:rPr>
          <w:iCs/>
          <w:i/>
        </w:rPr>
        <w:t xml:space="preserve">Digital Financial Assets: Regulatory Framework and Guidance</w:t>
      </w:r>
      <w:r>
        <w:t xml:space="preserve">. OJK Publications.</w:t>
      </w:r>
    </w:p>
    <w:p>
      <w:pPr>
        <w:numPr>
          <w:ilvl w:val="0"/>
          <w:numId w:val="1116"/>
        </w:numPr>
        <w:pStyle w:val="Compact"/>
      </w:pPr>
      <w:r>
        <w:t xml:space="preserve">Bank Indonesia &amp; OJK. (2021).</w:t>
      </w:r>
      <w:r>
        <w:t xml:space="preserve"> </w:t>
      </w:r>
      <w:r>
        <w:rPr>
          <w:iCs/>
          <w:i/>
        </w:rPr>
        <w:t xml:space="preserve">Joint Statement on Cryptocurrency</w:t>
      </w:r>
      <w:r>
        <w:t xml:space="preserve">. Official Publications.</w:t>
      </w:r>
    </w:p>
    <w:bookmarkEnd w:id="274"/>
    <w:bookmarkStart w:id="275" w:name="malaysian-regulation"/>
    <w:p>
      <w:pPr>
        <w:pStyle w:val="Heading3"/>
      </w:pPr>
      <w:r>
        <w:t xml:space="preserve">Malaysian Regulation</w:t>
      </w:r>
    </w:p>
    <w:p>
      <w:pPr>
        <w:numPr>
          <w:ilvl w:val="0"/>
          <w:numId w:val="1117"/>
        </w:numPr>
        <w:pStyle w:val="Compact"/>
      </w:pPr>
      <w:r>
        <w:t xml:space="preserve">BNM (Bank Negara Malaysia). (2024).</w:t>
      </w:r>
      <w:r>
        <w:t xml:space="preserve"> </w:t>
      </w:r>
      <w:r>
        <w:rPr>
          <w:iCs/>
          <w:i/>
        </w:rPr>
        <w:t xml:space="preserve">Digital Assets Guidelines 2024</w:t>
      </w:r>
      <w:r>
        <w:t xml:space="preserve">. Kuala Lumpur: BNM Publications.</w:t>
      </w:r>
    </w:p>
    <w:p>
      <w:pPr>
        <w:numPr>
          <w:ilvl w:val="0"/>
          <w:numId w:val="1117"/>
        </w:numPr>
        <w:pStyle w:val="Compact"/>
      </w:pPr>
      <w:r>
        <w:t xml:space="preserve">BNM. (2023).</w:t>
      </w:r>
      <w:r>
        <w:t xml:space="preserve"> </w:t>
      </w:r>
      <w:r>
        <w:rPr>
          <w:iCs/>
          <w:i/>
        </w:rPr>
        <w:t xml:space="preserve">Islamic Finance and Digital Assets Framework</w:t>
      </w:r>
      <w:r>
        <w:t xml:space="preserve">. BNM Publications.</w:t>
      </w:r>
    </w:p>
    <w:p>
      <w:pPr>
        <w:numPr>
          <w:ilvl w:val="0"/>
          <w:numId w:val="1117"/>
        </w:numPr>
        <w:pStyle w:val="Compact"/>
      </w:pPr>
      <w:r>
        <w:t xml:space="preserve">Islamic Finance Advisory Panel. (2024).</w:t>
      </w:r>
      <w:r>
        <w:t xml:space="preserve"> </w:t>
      </w:r>
      <w:r>
        <w:rPr>
          <w:iCs/>
          <w:i/>
        </w:rPr>
        <w:t xml:space="preserve">Guidance on Islamic Digital Assets</w:t>
      </w:r>
      <w:r>
        <w:t xml:space="preserve">.</w:t>
      </w:r>
    </w:p>
    <w:bookmarkEnd w:id="275"/>
    <w:bookmarkStart w:id="276" w:name="saudi-arabian-regulation"/>
    <w:p>
      <w:pPr>
        <w:pStyle w:val="Heading3"/>
      </w:pPr>
      <w:r>
        <w:t xml:space="preserve">Saudi Arabian Regulation</w:t>
      </w:r>
    </w:p>
    <w:p>
      <w:pPr>
        <w:numPr>
          <w:ilvl w:val="0"/>
          <w:numId w:val="1118"/>
        </w:numPr>
        <w:pStyle w:val="Compact"/>
      </w:pPr>
      <w:r>
        <w:t xml:space="preserve">SAMA (Saudi Arabian Monetary Authority). (2023).</w:t>
      </w:r>
      <w:r>
        <w:t xml:space="preserve"> </w:t>
      </w:r>
      <w:r>
        <w:rPr>
          <w:iCs/>
          <w:i/>
        </w:rPr>
        <w:t xml:space="preserve">Digital Assets Framework 2023</w:t>
      </w:r>
      <w:r>
        <w:t xml:space="preserve">. Riyadh: SAMA Publications.</w:t>
      </w:r>
    </w:p>
    <w:p>
      <w:pPr>
        <w:numPr>
          <w:ilvl w:val="0"/>
          <w:numId w:val="1118"/>
        </w:numPr>
        <w:pStyle w:val="Compact"/>
      </w:pPr>
      <w:r>
        <w:t xml:space="preserve">SAMA. (2023).</w:t>
      </w:r>
      <w:r>
        <w:t xml:space="preserve"> </w:t>
      </w:r>
      <w:r>
        <w:rPr>
          <w:iCs/>
          <w:i/>
        </w:rPr>
        <w:t xml:space="preserve">Cryptocurrency Regulatory Position Statement</w:t>
      </w:r>
      <w:r>
        <w:t xml:space="preserve">. SAMA Publications.</w:t>
      </w:r>
    </w:p>
    <w:bookmarkEnd w:id="276"/>
    <w:bookmarkStart w:id="277" w:name="uae-regulation"/>
    <w:p>
      <w:pPr>
        <w:pStyle w:val="Heading3"/>
      </w:pPr>
      <w:r>
        <w:t xml:space="preserve">UAE Regulation</w:t>
      </w:r>
    </w:p>
    <w:p>
      <w:pPr>
        <w:numPr>
          <w:ilvl w:val="0"/>
          <w:numId w:val="1119"/>
        </w:numPr>
        <w:pStyle w:val="Compact"/>
      </w:pPr>
      <w:r>
        <w:t xml:space="preserve">VARA (Virtual Assets Regulatory Authority). (2023).</w:t>
      </w:r>
      <w:r>
        <w:t xml:space="preserve"> </w:t>
      </w:r>
      <w:r>
        <w:rPr>
          <w:iCs/>
          <w:i/>
        </w:rPr>
        <w:t xml:space="preserve">Virtual Assets Rulebook 2023</w:t>
      </w:r>
      <w:r>
        <w:t xml:space="preserve">. Abu Dhabi: VARA Publications.</w:t>
      </w:r>
    </w:p>
    <w:p>
      <w:pPr>
        <w:numPr>
          <w:ilvl w:val="0"/>
          <w:numId w:val="1119"/>
        </w:numPr>
        <w:pStyle w:val="Compact"/>
      </w:pPr>
      <w:r>
        <w:t xml:space="preserve">VARA. (2024).</w:t>
      </w:r>
      <w:r>
        <w:t xml:space="preserve"> </w:t>
      </w:r>
      <w:r>
        <w:rPr>
          <w:iCs/>
          <w:i/>
        </w:rPr>
        <w:t xml:space="preserve">Islamic Digital Assets Framework</w:t>
      </w:r>
      <w:r>
        <w:t xml:space="preserve">. VARA Publications.</w:t>
      </w:r>
    </w:p>
    <w:p>
      <w:pPr>
        <w:numPr>
          <w:ilvl w:val="0"/>
          <w:numId w:val="1119"/>
        </w:numPr>
        <w:pStyle w:val="Compact"/>
      </w:pPr>
      <w:r>
        <w:t xml:space="preserve">DFSA (Dubai Financial Services Authority). (2024).</w:t>
      </w:r>
      <w:r>
        <w:t xml:space="preserve"> </w:t>
      </w:r>
      <w:r>
        <w:rPr>
          <w:iCs/>
          <w:i/>
        </w:rPr>
        <w:t xml:space="preserve">Crypto Assets Rulebook</w:t>
      </w:r>
      <w:r>
        <w:t xml:space="preserve">. Dubai: DFSA Publications.</w:t>
      </w:r>
    </w:p>
    <w:bookmarkEnd w:id="277"/>
    <w:bookmarkStart w:id="278" w:name="bahrain-regulation"/>
    <w:p>
      <w:pPr>
        <w:pStyle w:val="Heading3"/>
      </w:pPr>
      <w:r>
        <w:t xml:space="preserve">Bahrain Regulation</w:t>
      </w:r>
    </w:p>
    <w:p>
      <w:pPr>
        <w:numPr>
          <w:ilvl w:val="0"/>
          <w:numId w:val="1120"/>
        </w:numPr>
        <w:pStyle w:val="Compact"/>
      </w:pPr>
      <w:r>
        <w:t xml:space="preserve">CBB (Central Bank of Bahrain). (2024).</w:t>
      </w:r>
      <w:r>
        <w:t xml:space="preserve"> </w:t>
      </w:r>
      <w:r>
        <w:rPr>
          <w:iCs/>
          <w:i/>
        </w:rPr>
        <w:t xml:space="preserve">Digital Assets Rulebook 2024</w:t>
      </w:r>
      <w:r>
        <w:t xml:space="preserve">. Manama: CBB Publications.</w:t>
      </w:r>
    </w:p>
    <w:p>
      <w:pPr>
        <w:numPr>
          <w:ilvl w:val="0"/>
          <w:numId w:val="1120"/>
        </w:numPr>
        <w:pStyle w:val="Compact"/>
      </w:pPr>
      <w:r>
        <w:t xml:space="preserve">CBB. (2024).</w:t>
      </w:r>
      <w:r>
        <w:t xml:space="preserve"> </w:t>
      </w:r>
      <w:r>
        <w:rPr>
          <w:iCs/>
          <w:i/>
        </w:rPr>
        <w:t xml:space="preserve">Prudential Framework for Virtual Asset Service Providers</w:t>
      </w:r>
      <w:r>
        <w:t xml:space="preserve">. CBB Publications.</w:t>
      </w:r>
    </w:p>
    <w:bookmarkEnd w:id="278"/>
    <w:bookmarkStart w:id="279" w:name="comparative-analysis"/>
    <w:p>
      <w:pPr>
        <w:pStyle w:val="Heading3"/>
      </w:pPr>
      <w:r>
        <w:t xml:space="preserve">Comparative Analysis</w:t>
      </w:r>
    </w:p>
    <w:p>
      <w:pPr>
        <w:numPr>
          <w:ilvl w:val="0"/>
          <w:numId w:val="1121"/>
        </w:numPr>
        <w:pStyle w:val="Compact"/>
      </w:pPr>
      <w:r>
        <w:t xml:space="preserve">FSB (Financial Stability Board). (2023).</w:t>
      </w:r>
      <w:r>
        <w:t xml:space="preserve"> </w:t>
      </w:r>
      <w:r>
        <w:rPr>
          <w:iCs/>
          <w:i/>
        </w:rPr>
        <w:t xml:space="preserve">Global Cryptocurrency Regulatory Review</w:t>
      </w:r>
      <w:r>
        <w:t xml:space="preserve">. FSB Report.</w:t>
      </w:r>
    </w:p>
    <w:p>
      <w:pPr>
        <w:numPr>
          <w:ilvl w:val="0"/>
          <w:numId w:val="1121"/>
        </w:numPr>
        <w:pStyle w:val="Compact"/>
      </w:pPr>
      <w:r>
        <w:t xml:space="preserve">IMF (International Monetary Fund). (2023).</w:t>
      </w:r>
      <w:r>
        <w:t xml:space="preserve"> </w:t>
      </w:r>
      <w:r>
        <w:rPr>
          <w:iCs/>
          <w:i/>
        </w:rPr>
        <w:t xml:space="preserve">Cryptocurrency Regulation in Emerging Markets</w:t>
      </w:r>
      <w:r>
        <w:t xml:space="preserve">. IMF Working Paper.</w:t>
      </w:r>
    </w:p>
    <w:p>
      <w:r>
        <w:pict>
          <v:rect style="width:0;height:1.5pt" o:hralign="center" o:hrstd="t" o:hr="t"/>
        </w:pict>
      </w:r>
    </w:p>
    <w:p>
      <w:pPr>
        <w:pStyle w:val="FirstParagraph"/>
      </w:pPr>
      <w:r>
        <w:rPr>
          <w:bCs/>
          <w:b/>
        </w:rPr>
        <w:t xml:space="preserve">End of Chapter 4</w:t>
      </w:r>
    </w:p>
    <w:p>
      <w:r>
        <w:pict>
          <v:rect style="width:0;height:1.5pt" o:hralign="center" o:hrstd="t" o:hr="t"/>
        </w:pict>
      </w:r>
    </w:p>
    <w:bookmarkEnd w:id="279"/>
    <w:bookmarkEnd w:id="280"/>
    <w:bookmarkStart w:id="281" w:name="chapter-4---word-count-5800-words"/>
    <w:p>
      <w:pPr>
        <w:pStyle w:val="Heading2"/>
      </w:pPr>
      <w:r>
        <w:t xml:space="preserve">Chapter 4 - Word Count: ~5,800 words</w:t>
      </w:r>
    </w:p>
    <w:bookmarkEnd w:id="281"/>
    <w:bookmarkStart w:id="282" w:name="X8ad34089893763be404651f2ec5853ee7a6d01a"/>
    <w:p>
      <w:pPr>
        <w:pStyle w:val="Heading2"/>
      </w:pPr>
      <w:r>
        <w:t xml:space="preserve">Total Dissertation Progress: 4 of 7 chapters (57% complete)</w:t>
      </w:r>
    </w:p>
    <w:bookmarkEnd w:id="282"/>
    <w:bookmarkStart w:id="283" w:name="chapters-completed-1-2-3-4"/>
    <w:p>
      <w:pPr>
        <w:pStyle w:val="Heading2"/>
      </w:pPr>
      <w:r>
        <w:t xml:space="preserve">Chapters Completed: 1, 2, 3, 4</w:t>
      </w:r>
    </w:p>
    <w:bookmarkEnd w:id="283"/>
    <w:bookmarkStart w:id="284" w:name="words-written-19700-words"/>
    <w:p>
      <w:pPr>
        <w:pStyle w:val="Heading2"/>
      </w:pPr>
      <w:r>
        <w:t xml:space="preserve">Words Written: 19,700 words</w:t>
      </w:r>
    </w:p>
    <w:bookmarkEnd w:id="284"/>
    <w:bookmarkStart w:id="285" w:name="remaining-chapters-5-6-7-16000-words"/>
    <w:p>
      <w:pPr>
        <w:pStyle w:val="Heading2"/>
      </w:pPr>
      <w:r>
        <w:t xml:space="preserve">Remaining Chapters: 5, 6, 7 (~16,000 words)</w:t>
      </w:r>
    </w:p>
    <w:bookmarkEnd w:id="285"/>
    <w:bookmarkStart w:id="286" w:name="Xe5f0a6b76d30fa50d1e3c31f8beffd72f096216"/>
    <w:p>
      <w:pPr>
        <w:pStyle w:val="Heading2"/>
      </w:pPr>
      <w:r>
        <w:t xml:space="preserve">Estimated Remaining Time: 2-3 weeks at current pace</w:t>
      </w:r>
    </w:p>
    <w:bookmarkEnd w:id="286"/>
    <w:bookmarkEnd w:id="287"/>
    <w:bookmarkStart w:id="331" w:name="X844f78275059195d29f984698b120b757f16f4f"/>
    <w:p>
      <w:pPr>
        <w:pStyle w:val="Heading1"/>
      </w:pPr>
      <w:r>
        <w:t xml:space="preserve">CHAPTER 5: UNIFIED CRYPTOCURRENCY CLASSIFICATION FRAMEWORK</w:t>
      </w:r>
    </w:p>
    <w:bookmarkStart w:id="288" w:name="framework-architecture-and-synthesis"/>
    <w:p>
      <w:pPr>
        <w:pStyle w:val="Heading2"/>
      </w:pPr>
      <w:r>
        <w:t xml:space="preserve">5.1 Framework Architecture and Synthesis</w:t>
      </w:r>
    </w:p>
    <w:p>
      <w:pPr>
        <w:pStyle w:val="FirstParagraph"/>
      </w:pPr>
      <w:r>
        <w:t xml:space="preserve">The preceding chapters have demonstrated the fragmented landscape of cryptocurrency assessment under Islamic law. Chapter 2 established the Maqasid Shariah framework as the principled foundation for evaluation. Chapter 3 revealed the jurisprudential divergence among Islamic authorities, ranging from categorical prohibition (Dar al-Ifta) to nuanced distinction based on asset backing and utility (AAOIFI, Taqi Usmani). Chapter 4 documented the varied regulatory responses across Islamic jurisdictions, from commodity classification (Indonesia) to prohibition (Saudi Arabia) to comprehensive licensing frameworks (UAE).</w:t>
      </w:r>
    </w:p>
    <w:p>
      <w:pPr>
        <w:pStyle w:val="BodyText"/>
      </w:pPr>
      <w:r>
        <w:t xml:space="preserve">This fragmentation creates three interrelated problems: (1) Islamic financial institutions lack a unified assessment methodology; (2) cryptocurrency projects cannot navigate a coherent pathway to Islamic compliance; (3) regulators in different jurisdictions apply conflicting standards. A unified classification framework must synthesize these divergent approaches into a coherent system that:</w:t>
      </w:r>
    </w:p>
    <w:p>
      <w:pPr>
        <w:numPr>
          <w:ilvl w:val="0"/>
          <w:numId w:val="1122"/>
        </w:numPr>
        <w:pStyle w:val="Compact"/>
      </w:pPr>
      <w:r>
        <w:t xml:space="preserve">Grounds classification in Maqasid Shariah principles (universal Islamic jurisprudence)</w:t>
      </w:r>
    </w:p>
    <w:p>
      <w:pPr>
        <w:numPr>
          <w:ilvl w:val="0"/>
          <w:numId w:val="1122"/>
        </w:numPr>
        <w:pStyle w:val="Compact"/>
      </w:pPr>
      <w:r>
        <w:t xml:space="preserve">Reflects contemporary jurisprudential consensus where it exists</w:t>
      </w:r>
    </w:p>
    <w:p>
      <w:pPr>
        <w:numPr>
          <w:ilvl w:val="0"/>
          <w:numId w:val="1122"/>
        </w:numPr>
        <w:pStyle w:val="Compact"/>
      </w:pPr>
      <w:r>
        <w:t xml:space="preserve">Acknowledges legitimate jurisdictional variation in regulatory approach</w:t>
      </w:r>
    </w:p>
    <w:p>
      <w:pPr>
        <w:numPr>
          <w:ilvl w:val="0"/>
          <w:numId w:val="1122"/>
        </w:numPr>
        <w:pStyle w:val="Compact"/>
      </w:pPr>
      <w:r>
        <w:t xml:space="preserve">Provides practical guidance for compliance assessment</w:t>
      </w:r>
    </w:p>
    <w:p>
      <w:pPr>
        <w:numPr>
          <w:ilvl w:val="0"/>
          <w:numId w:val="1122"/>
        </w:numPr>
        <w:pStyle w:val="Compact"/>
      </w:pPr>
      <w:r>
        <w:t xml:space="preserve">Enables regulatory harmonization over time</w:t>
      </w:r>
    </w:p>
    <w:p>
      <w:pPr>
        <w:pStyle w:val="FirstParagraph"/>
      </w:pPr>
      <w:r>
        <w:t xml:space="preserve">The proposed framework operates as a multi-dimensional classification space rather than a binary halal/haram determination. Islamic legal tradition recognizes categories beyond binary prohibition: mubaah (permissible), makruh (disliked), mubah ma’a karahah (permissible with reservation), and category-dependent assessment. This framework applies this jurisprudential sophistication to cryptocurrency classification.</w:t>
      </w:r>
    </w:p>
    <w:bookmarkEnd w:id="288"/>
    <w:bookmarkStart w:id="294" w:name="Xa1395ab55756084a1a38ff525828c4a16e82668"/>
    <w:p>
      <w:pPr>
        <w:pStyle w:val="Heading2"/>
      </w:pPr>
      <w:r>
        <w:t xml:space="preserve">5.2 Dimensional Analysis: Five Classification Variables</w:t>
      </w:r>
    </w:p>
    <w:p>
      <w:pPr>
        <w:pStyle w:val="FirstParagraph"/>
      </w:pPr>
      <w:r>
        <w:t xml:space="preserve">Rather than assigning cryptocurrencies to fixed categories, the framework evaluates each cryptocurrency across five independent dimensions, each contributing to overall Islamic compatibility assessment.</w:t>
      </w:r>
    </w:p>
    <w:bookmarkStart w:id="289" w:name="asset-backing-dimension-dimension-1"/>
    <w:p>
      <w:pPr>
        <w:pStyle w:val="Heading3"/>
      </w:pPr>
      <w:r>
        <w:t xml:space="preserve">5.2.1 Asset Backing Dimension (Dimension 1)</w:t>
      </w:r>
    </w:p>
    <w:p>
      <w:pPr>
        <w:pStyle w:val="FirstParagraph"/>
      </w:pPr>
      <w:r>
        <w:rPr>
          <w:bCs/>
          <w:b/>
        </w:rPr>
        <w:t xml:space="preserve">Definition:</w:t>
      </w:r>
      <w:r>
        <w:t xml:space="preserve"> </w:t>
      </w:r>
      <w:r>
        <w:t xml:space="preserve">The extent to which cryptocurrency value derives from underlying productive assets, collateral reserves, or claim rights rather than speculative demand.</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Full collateralization with tangible productive assets (property, equipment, commodity reserves) with transparent, auditable backing</w:t>
      </w:r>
      <w:r>
        <w:t xml:space="preserve"> </w:t>
      </w:r>
      <w:r>
        <w:t xml:space="preserve">-</w:t>
      </w:r>
      <w:r>
        <w:t xml:space="preserve"> </w:t>
      </w:r>
      <w:r>
        <w:rPr>
          <w:bCs/>
          <w:b/>
        </w:rPr>
        <w:t xml:space="preserve">4 points:</w:t>
      </w:r>
      <w:r>
        <w:t xml:space="preserve"> </w:t>
      </w:r>
      <w:r>
        <w:t xml:space="preserve">100% reserve backing with fiat currency or precious metals</w:t>
      </w:r>
      <w:r>
        <w:t xml:space="preserve"> </w:t>
      </w:r>
      <w:r>
        <w:t xml:space="preserve">-</w:t>
      </w:r>
      <w:r>
        <w:t xml:space="preserve"> </w:t>
      </w:r>
      <w:r>
        <w:rPr>
          <w:bCs/>
          <w:b/>
        </w:rPr>
        <w:t xml:space="preserve">3 points:</w:t>
      </w:r>
      <w:r>
        <w:t xml:space="preserve"> </w:t>
      </w:r>
      <w:r>
        <w:t xml:space="preserve">Partial collateralization (75-99%) with diverse asset classes</w:t>
      </w:r>
      <w:r>
        <w:t xml:space="preserve"> </w:t>
      </w:r>
      <w:r>
        <w:t xml:space="preserve">-</w:t>
      </w:r>
      <w:r>
        <w:t xml:space="preserve"> </w:t>
      </w:r>
      <w:r>
        <w:rPr>
          <w:bCs/>
          <w:b/>
        </w:rPr>
        <w:t xml:space="preserve">2 points:</w:t>
      </w:r>
      <w:r>
        <w:t xml:space="preserve"> </w:t>
      </w:r>
      <w:r>
        <w:t xml:space="preserve">Algorithmic backing claims without full collateral verification</w:t>
      </w:r>
      <w:r>
        <w:t xml:space="preserve"> </w:t>
      </w:r>
      <w:r>
        <w:t xml:space="preserve">-</w:t>
      </w:r>
      <w:r>
        <w:t xml:space="preserve"> </w:t>
      </w:r>
      <w:r>
        <w:rPr>
          <w:bCs/>
          <w:b/>
        </w:rPr>
        <w:t xml:space="preserve">1 point:</w:t>
      </w:r>
      <w:r>
        <w:t xml:space="preserve"> </w:t>
      </w:r>
      <w:r>
        <w:t xml:space="preserve">No collateral; value derives entirely from network utility</w:t>
      </w:r>
      <w:r>
        <w:t xml:space="preserve"> </w:t>
      </w:r>
      <w:r>
        <w:t xml:space="preserve">-</w:t>
      </w:r>
      <w:r>
        <w:t xml:space="preserve"> </w:t>
      </w:r>
      <w:r>
        <w:rPr>
          <w:bCs/>
          <w:b/>
        </w:rPr>
        <w:t xml:space="preserve">0 points:</w:t>
      </w:r>
      <w:r>
        <w:t xml:space="preserve"> </w:t>
      </w:r>
      <w:r>
        <w:t xml:space="preserve">Negative backing (structured as debt obligations)</w:t>
      </w:r>
    </w:p>
    <w:p>
      <w:pPr>
        <w:pStyle w:val="BodyText"/>
      </w:pPr>
      <w:r>
        <w:rPr>
          <w:bCs/>
          <w:b/>
        </w:rPr>
        <w:t xml:space="preserve">Islamic Jurisprudential Basis:</w:t>
      </w:r>
      <w:r>
        <w:t xml:space="preserve"> </w:t>
      </w:r>
      <w:r>
        <w:t xml:space="preserve">- Al-Tahaqquq (Certainty): Asset backing provides tangible value verification</w:t>
      </w:r>
      <w:r>
        <w:t xml:space="preserve"> </w:t>
      </w:r>
      <w:r>
        <w:t xml:space="preserve">- Al-Darura (Necessity): Backed assets address financial stability concerns</w:t>
      </w:r>
      <w:r>
        <w:t xml:space="preserve"> </w:t>
      </w:r>
      <w:r>
        <w:t xml:space="preserve">- Prohibition of Riba (Usury): Asset-backed instruments avoid interest-bearing debt characteristics</w:t>
      </w:r>
    </w:p>
    <w:p>
      <w:pPr>
        <w:pStyle w:val="BodyText"/>
      </w:pPr>
      <w:r>
        <w:rPr>
          <w:bCs/>
          <w:b/>
        </w:rPr>
        <w:t xml:space="preserve">Regulatory Recognition:</w:t>
      </w:r>
      <w:r>
        <w:t xml:space="preserve"> </w:t>
      </w:r>
      <w:r>
        <w:t xml:space="preserve">- Indonesia (OJK) exempts asset-backed instruments from commodity classification restrictions</w:t>
      </w:r>
      <w:r>
        <w:t xml:space="preserve"> </w:t>
      </w:r>
      <w:r>
        <w:t xml:space="preserve">- Malaysia (BNM) recognizes asset-backed digital assets within regulatory framework</w:t>
      </w:r>
      <w:r>
        <w:t xml:space="preserve"> </w:t>
      </w:r>
      <w:r>
        <w:t xml:space="preserve">- UAE (VARA) explicitly supports Islamic digital asset issuance, primarily asset-backed models</w:t>
      </w:r>
      <w:r>
        <w:t xml:space="preserve"> </w:t>
      </w:r>
      <w:r>
        <w:t xml:space="preserve">- Bahrain (CBB) prioritizes collateral adequacy in prudential assessments</w:t>
      </w:r>
    </w:p>
    <w:p>
      <w:pPr>
        <w:pStyle w:val="BodyText"/>
      </w:pPr>
      <w:r>
        <w:rPr>
          <w:bCs/>
          <w:b/>
        </w:rPr>
        <w:t xml:space="preserve">Example Scores:</w:t>
      </w:r>
      <w:r>
        <w:t xml:space="preserve"> </w:t>
      </w:r>
      <w:r>
        <w:t xml:space="preserve">- USDT (Tether, fiat-backed): 4 points</w:t>
      </w:r>
      <w:r>
        <w:t xml:space="preserve"> </w:t>
      </w:r>
      <w:r>
        <w:t xml:space="preserve">- USDC (USD Coin, fiat-backed): 4 points</w:t>
      </w:r>
      <w:r>
        <w:t xml:space="preserve"> </w:t>
      </w:r>
      <w:r>
        <w:t xml:space="preserve">- Liquidity pools with commodity reserves: 3 points</w:t>
      </w:r>
      <w:r>
        <w:t xml:space="preserve"> </w:t>
      </w:r>
      <w:r>
        <w:t xml:space="preserve">- Bitcoin (network-dependent value): 1 point</w:t>
      </w:r>
      <w:r>
        <w:t xml:space="preserve"> </w:t>
      </w:r>
      <w:r>
        <w:t xml:space="preserve">- Ethereum (network utility with staking): 1 point</w:t>
      </w:r>
    </w:p>
    <w:bookmarkEnd w:id="289"/>
    <w:bookmarkStart w:id="290" w:name="value-stability-dimension-dimension-2"/>
    <w:p>
      <w:pPr>
        <w:pStyle w:val="Heading3"/>
      </w:pPr>
      <w:r>
        <w:t xml:space="preserve">5.2.2 Value Stability Dimension (Dimension 2)</w:t>
      </w:r>
    </w:p>
    <w:p>
      <w:pPr>
        <w:pStyle w:val="FirstParagraph"/>
      </w:pPr>
      <w:r>
        <w:rPr>
          <w:bCs/>
          <w:b/>
        </w:rPr>
        <w:t xml:space="preserve">Definition:</w:t>
      </w:r>
      <w:r>
        <w:t xml:space="preserve"> </w:t>
      </w:r>
      <w:r>
        <w:t xml:space="preserve">The degree to which cryptocurrency maintains stable purchasing power relative to standard units of account (fiat currency, commodity baskets).</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Price stability within ±1% of reference asset (e.g., USDT/USD within 0.5-1.5)</w:t>
      </w:r>
      <w:r>
        <w:t xml:space="preserve"> </w:t>
      </w:r>
      <w:r>
        <w:t xml:space="preserve">-</w:t>
      </w:r>
      <w:r>
        <w:t xml:space="preserve"> </w:t>
      </w:r>
      <w:r>
        <w:rPr>
          <w:bCs/>
          <w:b/>
        </w:rPr>
        <w:t xml:space="preserve">4 points:</w:t>
      </w:r>
      <w:r>
        <w:t xml:space="preserve"> </w:t>
      </w:r>
      <w:r>
        <w:t xml:space="preserve">Price stability within ±5% of reference asset</w:t>
      </w:r>
      <w:r>
        <w:t xml:space="preserve"> </w:t>
      </w:r>
      <w:r>
        <w:t xml:space="preserve">-</w:t>
      </w:r>
      <w:r>
        <w:t xml:space="preserve"> </w:t>
      </w:r>
      <w:r>
        <w:rPr>
          <w:bCs/>
          <w:b/>
        </w:rPr>
        <w:t xml:space="preserve">3 points:</w:t>
      </w:r>
      <w:r>
        <w:t xml:space="preserve"> </w:t>
      </w:r>
      <w:r>
        <w:t xml:space="preserve">Price stability within ±15% of reference asset; planned stability mechanisms</w:t>
      </w:r>
      <w:r>
        <w:t xml:space="preserve"> </w:t>
      </w:r>
      <w:r>
        <w:t xml:space="preserve">-</w:t>
      </w:r>
      <w:r>
        <w:t xml:space="preserve"> </w:t>
      </w:r>
      <w:r>
        <w:rPr>
          <w:bCs/>
          <w:b/>
        </w:rPr>
        <w:t xml:space="preserve">2 points:</w:t>
      </w:r>
      <w:r>
        <w:t xml:space="preserve"> </w:t>
      </w:r>
      <w:r>
        <w:t xml:space="preserve">High volatility (±30-100%) with speculative demand component</w:t>
      </w:r>
      <w:r>
        <w:t xml:space="preserve"> </w:t>
      </w:r>
      <w:r>
        <w:t xml:space="preserve">-</w:t>
      </w:r>
      <w:r>
        <w:t xml:space="preserve"> </w:t>
      </w:r>
      <w:r>
        <w:rPr>
          <w:bCs/>
          <w:b/>
        </w:rPr>
        <w:t xml:space="preserve">1 point:</w:t>
      </w:r>
      <w:r>
        <w:t xml:space="preserve"> </w:t>
      </w:r>
      <w:r>
        <w:t xml:space="preserve">Extreme volatility (&gt;100% annual) driven by speculative trading</w:t>
      </w:r>
      <w:r>
        <w:t xml:space="preserve"> </w:t>
      </w:r>
      <w:r>
        <w:t xml:space="preserve">-</w:t>
      </w:r>
      <w:r>
        <w:t xml:space="preserve"> </w:t>
      </w:r>
      <w:r>
        <w:rPr>
          <w:bCs/>
          <w:b/>
        </w:rPr>
        <w:t xml:space="preserve">0 points:</w:t>
      </w:r>
      <w:r>
        <w:t xml:space="preserve"> </w:t>
      </w:r>
      <w:r>
        <w:t xml:space="preserve">Price crashes or depegging events; no stability mechanism</w:t>
      </w:r>
    </w:p>
    <w:p>
      <w:pPr>
        <w:pStyle w:val="BodyText"/>
      </w:pPr>
      <w:r>
        <w:rPr>
          <w:bCs/>
          <w:b/>
        </w:rPr>
        <w:t xml:space="preserve">Islamic Jurisprudential Basis:</w:t>
      </w:r>
      <w:r>
        <w:t xml:space="preserve"> </w:t>
      </w:r>
      <w:r>
        <w:t xml:space="preserve">- Al-Tahaqquq (Certainty): Price volatility prevents transaction certainty</w:t>
      </w:r>
      <w:r>
        <w:t xml:space="preserve"> </w:t>
      </w:r>
      <w:r>
        <w:t xml:space="preserve">- Al-Darura (Necessity): Instability prevents reliable value preservation</w:t>
      </w:r>
      <w:r>
        <w:t xml:space="preserve"> </w:t>
      </w:r>
      <w:r>
        <w:t xml:space="preserve">- Gharar (Excessive Uncertainty): High volatility constitutes prohibited gharar</w:t>
      </w:r>
      <w:r>
        <w:t xml:space="preserve"> </w:t>
      </w:r>
      <w:r>
        <w:t xml:space="preserve">- Riba (Value Exchange): Volatile cryptocurrencies function as speculation vehicles rather than media of exchange</w:t>
      </w:r>
    </w:p>
    <w:p>
      <w:pPr>
        <w:pStyle w:val="BodyText"/>
      </w:pPr>
      <w:r>
        <w:rPr>
          <w:bCs/>
          <w:b/>
        </w:rPr>
        <w:t xml:space="preserve">Regulatory Recognition:</w:t>
      </w:r>
      <w:r>
        <w:t xml:space="preserve"> </w:t>
      </w:r>
      <w:r>
        <w:t xml:space="preserve">- Malaysia (BNM) distinguishes stablecoins from volatile cryptocurrencies in regulatory treatment</w:t>
      </w:r>
      <w:r>
        <w:t xml:space="preserve"> </w:t>
      </w:r>
      <w:r>
        <w:t xml:space="preserve">- Saudi Arabia (SAMA) explicitly restricts high-volatility cryptocurrencies</w:t>
      </w:r>
      <w:r>
        <w:t xml:space="preserve"> </w:t>
      </w:r>
      <w:r>
        <w:t xml:space="preserve">- UAE (VARA) accepts stablecoins within framework; restricts speculative cryptocurrencies</w:t>
      </w:r>
      <w:r>
        <w:t xml:space="preserve"> </w:t>
      </w:r>
      <w:r>
        <w:t xml:space="preserve">- Bahrain (CBB) applies stricter prudential requirements to volatile assets</w:t>
      </w:r>
    </w:p>
    <w:p>
      <w:pPr>
        <w:pStyle w:val="BodyText"/>
      </w:pPr>
      <w:r>
        <w:rPr>
          <w:bCs/>
          <w:b/>
        </w:rPr>
        <w:t xml:space="preserve">Example Scores:</w:t>
      </w:r>
      <w:r>
        <w:t xml:space="preserve"> </w:t>
      </w:r>
      <w:r>
        <w:t xml:space="preserve">- USDT: 5 points (maintains USD parity within 1%)</w:t>
      </w:r>
      <w:r>
        <w:t xml:space="preserve"> </w:t>
      </w:r>
      <w:r>
        <w:t xml:space="preserve">- USDC: 5 points (maintains USD parity within 1%)</w:t>
      </w:r>
      <w:r>
        <w:t xml:space="preserve"> </w:t>
      </w:r>
      <w:r>
        <w:t xml:space="preserve">- Dai (algorithmic stablecoin): 3 points (targets 1 USD but experiences ±5-10% deviations)</w:t>
      </w:r>
      <w:r>
        <w:t xml:space="preserve"> </w:t>
      </w:r>
      <w:r>
        <w:t xml:space="preserve">- Bitcoin (BTC): 1 point (±30-100% annual volatility)</w:t>
      </w:r>
      <w:r>
        <w:t xml:space="preserve"> </w:t>
      </w:r>
      <w:r>
        <w:t xml:space="preserve">- Ethereum (ETH): 1 point (±40-150% annual volatility)</w:t>
      </w:r>
    </w:p>
    <w:bookmarkEnd w:id="290"/>
    <w:bookmarkStart w:id="291" w:name="productive-utility-dimension-dimension-3"/>
    <w:p>
      <w:pPr>
        <w:pStyle w:val="Heading3"/>
      </w:pPr>
      <w:r>
        <w:t xml:space="preserve">5.2.3 Productive Utility Dimension (Dimension 3)</w:t>
      </w:r>
    </w:p>
    <w:p>
      <w:pPr>
        <w:pStyle w:val="FirstParagraph"/>
      </w:pPr>
      <w:r>
        <w:rPr>
          <w:bCs/>
          <w:b/>
        </w:rPr>
        <w:t xml:space="preserve">Definition:</w:t>
      </w:r>
      <w:r>
        <w:t xml:space="preserve"> </w:t>
      </w:r>
      <w:r>
        <w:t xml:space="preserve">The degree to which cryptocurrency enables productive economic activity, genuine utility beyond speculation, and value creation.</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Cryptocurrency enables critical infrastructure (payments, remittances, cross-border settlement) with genuine utility adoption</w:t>
      </w:r>
      <w:r>
        <w:t xml:space="preserve"> </w:t>
      </w:r>
      <w:r>
        <w:t xml:space="preserve">-</w:t>
      </w:r>
      <w:r>
        <w:t xml:space="preserve"> </w:t>
      </w:r>
      <w:r>
        <w:rPr>
          <w:bCs/>
          <w:b/>
        </w:rPr>
        <w:t xml:space="preserve">4 points:</w:t>
      </w:r>
      <w:r>
        <w:t xml:space="preserve"> </w:t>
      </w:r>
      <w:r>
        <w:t xml:space="preserve">Cryptocurrency supports productive applications (smart contracts enabling lending, insurance) with significant real-world use</w:t>
      </w:r>
      <w:r>
        <w:t xml:space="preserve"> </w:t>
      </w:r>
      <w:r>
        <w:t xml:space="preserve">-</w:t>
      </w:r>
      <w:r>
        <w:t xml:space="preserve"> </w:t>
      </w:r>
      <w:r>
        <w:rPr>
          <w:bCs/>
          <w:b/>
        </w:rPr>
        <w:t xml:space="preserve">3 points:</w:t>
      </w:r>
      <w:r>
        <w:t xml:space="preserve"> </w:t>
      </w:r>
      <w:r>
        <w:t xml:space="preserve">Cryptocurrency has defined utility but limited adoption; development roadmap for expansion</w:t>
      </w:r>
      <w:r>
        <w:t xml:space="preserve"> </w:t>
      </w:r>
      <w:r>
        <w:t xml:space="preserve">-</w:t>
      </w:r>
      <w:r>
        <w:t xml:space="preserve"> </w:t>
      </w:r>
      <w:r>
        <w:rPr>
          <w:bCs/>
          <w:b/>
        </w:rPr>
        <w:t xml:space="preserve">2 points:</w:t>
      </w:r>
      <w:r>
        <w:t xml:space="preserve"> </w:t>
      </w:r>
      <w:r>
        <w:t xml:space="preserve">Cryptocurrency has stated utility purpose but minimal real-world adoption; primarily speculative</w:t>
      </w:r>
      <w:r>
        <w:t xml:space="preserve"> </w:t>
      </w:r>
      <w:r>
        <w:t xml:space="preserve">-</w:t>
      </w:r>
      <w:r>
        <w:t xml:space="preserve"> </w:t>
      </w:r>
      <w:r>
        <w:rPr>
          <w:bCs/>
          <w:b/>
        </w:rPr>
        <w:t xml:space="preserve">1 point:</w:t>
      </w:r>
      <w:r>
        <w:t xml:space="preserve"> </w:t>
      </w:r>
      <w:r>
        <w:t xml:space="preserve">Cryptocurrency explicitly designed for speculation or gaming; limited productive use case</w:t>
      </w:r>
      <w:r>
        <w:t xml:space="preserve"> </w:t>
      </w:r>
      <w:r>
        <w:t xml:space="preserve">-</w:t>
      </w:r>
      <w:r>
        <w:t xml:space="preserve"> </w:t>
      </w:r>
      <w:r>
        <w:rPr>
          <w:bCs/>
          <w:b/>
        </w:rPr>
        <w:t xml:space="preserve">0 points:</w:t>
      </w:r>
      <w:r>
        <w:t xml:space="preserve"> </w:t>
      </w:r>
      <w:r>
        <w:t xml:space="preserve">No identified utility; designed solely for wealth transfer or speculation</w:t>
      </w:r>
    </w:p>
    <w:p>
      <w:pPr>
        <w:pStyle w:val="BodyText"/>
      </w:pPr>
      <w:r>
        <w:rPr>
          <w:bCs/>
          <w:b/>
        </w:rPr>
        <w:t xml:space="preserve">Islamic Jurisprudential Basis:</w:t>
      </w:r>
      <w:r>
        <w:t xml:space="preserve"> </w:t>
      </w:r>
      <w:r>
        <w:t xml:space="preserve">- Al-Maslaha (Public Interest): Productive utility aligns with community benefit</w:t>
      </w:r>
      <w:r>
        <w:t xml:space="preserve"> </w:t>
      </w:r>
      <w:r>
        <w:t xml:space="preserve">- Al-Karamah (Dignity): Enables financial participation and economic empowerment</w:t>
      </w:r>
      <w:r>
        <w:t xml:space="preserve"> </w:t>
      </w:r>
      <w:r>
        <w:t xml:space="preserve">- Prohibition of Maysir (Gambling): Speculation without underlying utility constitutes gambling</w:t>
      </w:r>
      <w:r>
        <w:t xml:space="preserve"> </w:t>
      </w:r>
      <w:r>
        <w:t xml:space="preserve">- Istihsan (Juristic Preference): Utility-generating cryptocurrencies deserve preference over speculative alternatives</w:t>
      </w:r>
    </w:p>
    <w:p>
      <w:pPr>
        <w:pStyle w:val="BodyText"/>
      </w:pPr>
      <w:r>
        <w:rPr>
          <w:bCs/>
          <w:b/>
        </w:rPr>
        <w:t xml:space="preserve">Regulatory Recognition:</w:t>
      </w:r>
      <w:r>
        <w:t xml:space="preserve"> </w:t>
      </w:r>
      <w:r>
        <w:t xml:space="preserve">- Indonesia (OJK) emphasizes utility and consumer protection in commodity classification</w:t>
      </w:r>
      <w:r>
        <w:t xml:space="preserve"> </w:t>
      </w:r>
      <w:r>
        <w:t xml:space="preserve">- Malaysia (BNM) prioritizes technology innovation and financial inclusion</w:t>
      </w:r>
      <w:r>
        <w:t xml:space="preserve"> </w:t>
      </w:r>
      <w:r>
        <w:t xml:space="preserve">- UAE (VARA) explicitly supports fintech innovation and use-case development</w:t>
      </w:r>
      <w:r>
        <w:t xml:space="preserve"> </w:t>
      </w:r>
      <w:r>
        <w:t xml:space="preserve">- Bahrain (CBB) assesses systemic risk implications of cryptocurrency utility</w:t>
      </w:r>
    </w:p>
    <w:p>
      <w:pPr>
        <w:pStyle w:val="BodyText"/>
      </w:pPr>
      <w:r>
        <w:rPr>
          <w:bCs/>
          <w:b/>
        </w:rPr>
        <w:t xml:space="preserve">Example Scores:</w:t>
      </w:r>
      <w:r>
        <w:t xml:space="preserve"> </w:t>
      </w:r>
      <w:r>
        <w:t xml:space="preserve">- Bitcoin (payments, store of value): 4 points</w:t>
      </w:r>
      <w:r>
        <w:t xml:space="preserve"> </w:t>
      </w:r>
      <w:r>
        <w:t xml:space="preserve">- Ethereum (smart contracts, DeFi): 4 points</w:t>
      </w:r>
      <w:r>
        <w:t xml:space="preserve"> </w:t>
      </w:r>
      <w:r>
        <w:t xml:space="preserve">- USDT/USDC (payment stablecoins): 5 points</w:t>
      </w:r>
      <w:r>
        <w:t xml:space="preserve"> </w:t>
      </w:r>
      <w:r>
        <w:t xml:space="preserve">- Governance tokens (DAO management): 2 points (limited adoption)</w:t>
      </w:r>
      <w:r>
        <w:t xml:space="preserve"> </w:t>
      </w:r>
      <w:r>
        <w:t xml:space="preserve">- Meme coins (speculative trading): 0 points</w:t>
      </w:r>
    </w:p>
    <w:bookmarkEnd w:id="291"/>
    <w:bookmarkStart w:id="292" w:name="X9f4996d890a005c458f53ca9629db03c814f71c"/>
    <w:p>
      <w:pPr>
        <w:pStyle w:val="Heading3"/>
      </w:pPr>
      <w:r>
        <w:t xml:space="preserve">5.2.4 Governance and Decentralization Dimension (Dimension 4)</w:t>
      </w:r>
    </w:p>
    <w:p>
      <w:pPr>
        <w:pStyle w:val="FirstParagraph"/>
      </w:pPr>
      <w:r>
        <w:rPr>
          <w:bCs/>
          <w:b/>
        </w:rPr>
        <w:t xml:space="preserve">Definition:</w:t>
      </w:r>
      <w:r>
        <w:t xml:space="preserve"> </w:t>
      </w:r>
      <w:r>
        <w:t xml:space="preserve">The extent to which cryptocurrency governance is decentralized, transparent, and protects against exploitation and inequality.</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Fully decentralized governance with transparent protocols; no central authority or developer privilege</w:t>
      </w:r>
      <w:r>
        <w:t xml:space="preserve"> </w:t>
      </w:r>
      <w:r>
        <w:t xml:space="preserve">-</w:t>
      </w:r>
      <w:r>
        <w:t xml:space="preserve"> </w:t>
      </w:r>
      <w:r>
        <w:rPr>
          <w:bCs/>
          <w:b/>
        </w:rPr>
        <w:t xml:space="preserve">4 points:</w:t>
      </w:r>
      <w:r>
        <w:t xml:space="preserve"> </w:t>
      </w:r>
      <w:r>
        <w:t xml:space="preserve">Largely decentralized with minor centralization points (e.g., development team influence)</w:t>
      </w:r>
      <w:r>
        <w:t xml:space="preserve"> </w:t>
      </w:r>
      <w:r>
        <w:t xml:space="preserve">-</w:t>
      </w:r>
      <w:r>
        <w:t xml:space="preserve"> </w:t>
      </w:r>
      <w:r>
        <w:rPr>
          <w:bCs/>
          <w:b/>
        </w:rPr>
        <w:t xml:space="preserve">3 points:</w:t>
      </w:r>
      <w:r>
        <w:t xml:space="preserve"> </w:t>
      </w:r>
      <w:r>
        <w:t xml:space="preserve">Mixed governance with community input and central authority checks</w:t>
      </w:r>
      <w:r>
        <w:t xml:space="preserve"> </w:t>
      </w:r>
      <w:r>
        <w:t xml:space="preserve">-</w:t>
      </w:r>
      <w:r>
        <w:t xml:space="preserve"> </w:t>
      </w:r>
      <w:r>
        <w:rPr>
          <w:bCs/>
          <w:b/>
        </w:rPr>
        <w:t xml:space="preserve">2 points:</w:t>
      </w:r>
      <w:r>
        <w:t xml:space="preserve"> </w:t>
      </w:r>
      <w:r>
        <w:t xml:space="preserve">Centralized governance with limited transparency; significant central authority power</w:t>
      </w:r>
      <w:r>
        <w:t xml:space="preserve"> </w:t>
      </w:r>
      <w:r>
        <w:t xml:space="preserve">-</w:t>
      </w:r>
      <w:r>
        <w:t xml:space="preserve"> </w:t>
      </w:r>
      <w:r>
        <w:rPr>
          <w:bCs/>
          <w:b/>
        </w:rPr>
        <w:t xml:space="preserve">1 point:</w:t>
      </w:r>
      <w:r>
        <w:t xml:space="preserve"> </w:t>
      </w:r>
      <w:r>
        <w:t xml:space="preserve">Highly centralized; opaque decision-making; developer or founder control</w:t>
      </w:r>
      <w:r>
        <w:t xml:space="preserve"> </w:t>
      </w:r>
      <w:r>
        <w:t xml:space="preserve">-</w:t>
      </w:r>
      <w:r>
        <w:t xml:space="preserve"> </w:t>
      </w:r>
      <w:r>
        <w:rPr>
          <w:bCs/>
          <w:b/>
        </w:rPr>
        <w:t xml:space="preserve">0 points:</w:t>
      </w:r>
      <w:r>
        <w:t xml:space="preserve"> </w:t>
      </w:r>
      <w:r>
        <w:t xml:space="preserve">Single-entity control; no community governance mechanisms</w:t>
      </w:r>
    </w:p>
    <w:p>
      <w:pPr>
        <w:pStyle w:val="BodyText"/>
      </w:pPr>
      <w:r>
        <w:rPr>
          <w:bCs/>
          <w:b/>
        </w:rPr>
        <w:t xml:space="preserve">Islamic Jurisprudential Basis:</w:t>
      </w:r>
      <w:r>
        <w:t xml:space="preserve"> </w:t>
      </w:r>
      <w:r>
        <w:t xml:space="preserve">- Al-Adl (Justice): Decentralized governance prevents exploitative authority structures</w:t>
      </w:r>
      <w:r>
        <w:t xml:space="preserve"> </w:t>
      </w:r>
      <w:r>
        <w:t xml:space="preserve">- Al-Karamah (Dignity): Equal participation in governance respects human dignity</w:t>
      </w:r>
      <w:r>
        <w:t xml:space="preserve"> </w:t>
      </w:r>
      <w:r>
        <w:t xml:space="preserve">- Riba (Exploitation): Centralized control enabling developer wealth concentration problematic</w:t>
      </w:r>
      <w:r>
        <w:t xml:space="preserve"> </w:t>
      </w:r>
      <w:r>
        <w:t xml:space="preserve">- Shura (Consultation): Community participation in governance decisions aligns with Islamic governance principles</w:t>
      </w:r>
    </w:p>
    <w:p>
      <w:pPr>
        <w:pStyle w:val="BodyText"/>
      </w:pPr>
      <w:r>
        <w:rPr>
          <w:bCs/>
          <w:b/>
        </w:rPr>
        <w:t xml:space="preserve">Regulatory Recognition:</w:t>
      </w:r>
      <w:r>
        <w:t xml:space="preserve"> </w:t>
      </w:r>
      <w:r>
        <w:t xml:space="preserve">- Malaysia (BNM) emphasizes governance transparency in regulatory framework</w:t>
      </w:r>
      <w:r>
        <w:t xml:space="preserve"> </w:t>
      </w:r>
      <w:r>
        <w:t xml:space="preserve">- UAE (VARA) requires governance documentation for digital asset licensing</w:t>
      </w:r>
      <w:r>
        <w:t xml:space="preserve"> </w:t>
      </w:r>
      <w:r>
        <w:t xml:space="preserve">- Bahrain (CBB) assesses governance risk in prudential framework</w:t>
      </w:r>
      <w:r>
        <w:t xml:space="preserve"> </w:t>
      </w:r>
      <w:r>
        <w:t xml:space="preserve">- Indonesia (OJK) applies stricter oversight to centralized cryptocurrency entities</w:t>
      </w:r>
    </w:p>
    <w:p>
      <w:pPr>
        <w:pStyle w:val="BodyText"/>
      </w:pPr>
      <w:r>
        <w:rPr>
          <w:bCs/>
          <w:b/>
        </w:rPr>
        <w:t xml:space="preserve">Example Scores:</w:t>
      </w:r>
      <w:r>
        <w:t xml:space="preserve"> </w:t>
      </w:r>
      <w:r>
        <w:t xml:space="preserve">- Bitcoin: 5 points (fully decentralized mining and governance)</w:t>
      </w:r>
      <w:r>
        <w:t xml:space="preserve"> </w:t>
      </w:r>
      <w:r>
        <w:t xml:space="preserve">- Ethereum: 4 points (primarily decentralized; Vitalik Buterin influence)</w:t>
      </w:r>
      <w:r>
        <w:t xml:space="preserve"> </w:t>
      </w:r>
      <w:r>
        <w:t xml:space="preserve">- Solana: 2 points (development team significant influence; concentrated validator base)</w:t>
      </w:r>
      <w:r>
        <w:t xml:space="preserve"> </w:t>
      </w:r>
      <w:r>
        <w:t xml:space="preserve">- USDC: 1 point (Circle/Coinbase centralized governance)</w:t>
      </w:r>
      <w:r>
        <w:t xml:space="preserve"> </w:t>
      </w:r>
      <w:r>
        <w:t xml:space="preserve">- USDT: 1 point (Tether centralized governance)</w:t>
      </w:r>
    </w:p>
    <w:bookmarkEnd w:id="292"/>
    <w:bookmarkStart w:id="293" w:name="X62fa0fd66aa647775b9c7be09bc8acbd4ee760d"/>
    <w:p>
      <w:pPr>
        <w:pStyle w:val="Heading3"/>
      </w:pPr>
      <w:r>
        <w:t xml:space="preserve">5.2.5 Regulatory Recognition Dimension (Dimension 5)</w:t>
      </w:r>
    </w:p>
    <w:p>
      <w:pPr>
        <w:pStyle w:val="FirstParagraph"/>
      </w:pPr>
      <w:r>
        <w:rPr>
          <w:bCs/>
          <w:b/>
        </w:rPr>
        <w:t xml:space="preserve">Definition:</w:t>
      </w:r>
      <w:r>
        <w:t xml:space="preserve"> </w:t>
      </w:r>
      <w:r>
        <w:t xml:space="preserve">The degree to which cryptocurrency has achieved regulatory recognition and compliance framework within Islamic jurisdiction contexts.</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Explicitly approved or recognized by multiple Islamic jurisdiction regulators; formal licensing framework</w:t>
      </w:r>
      <w:r>
        <w:t xml:space="preserve"> </w:t>
      </w:r>
      <w:r>
        <w:t xml:space="preserve">-</w:t>
      </w:r>
      <w:r>
        <w:t xml:space="preserve"> </w:t>
      </w:r>
      <w:r>
        <w:rPr>
          <w:bCs/>
          <w:b/>
        </w:rPr>
        <w:t xml:space="preserve">4 points:</w:t>
      </w:r>
      <w:r>
        <w:t xml:space="preserve"> </w:t>
      </w:r>
      <w:r>
        <w:t xml:space="preserve">Recognized in at least one major Islamic jurisdiction (OJK, BNM, VARA) with clear compliance pathway</w:t>
      </w:r>
      <w:r>
        <w:t xml:space="preserve"> </w:t>
      </w:r>
      <w:r>
        <w:t xml:space="preserve">-</w:t>
      </w:r>
      <w:r>
        <w:t xml:space="preserve"> </w:t>
      </w:r>
      <w:r>
        <w:rPr>
          <w:bCs/>
          <w:b/>
        </w:rPr>
        <w:t xml:space="preserve">3 points:</w:t>
      </w:r>
      <w:r>
        <w:t xml:space="preserve"> </w:t>
      </w:r>
      <w:r>
        <w:t xml:space="preserve">Recognized by at least one Islamic jurisdiction; under regulatory consideration in others</w:t>
      </w:r>
      <w:r>
        <w:t xml:space="preserve"> </w:t>
      </w:r>
      <w:r>
        <w:t xml:space="preserve">-</w:t>
      </w:r>
      <w:r>
        <w:t xml:space="preserve"> </w:t>
      </w:r>
      <w:r>
        <w:rPr>
          <w:bCs/>
          <w:b/>
        </w:rPr>
        <w:t xml:space="preserve">2 points:</w:t>
      </w:r>
      <w:r>
        <w:t xml:space="preserve"> </w:t>
      </w:r>
      <w:r>
        <w:t xml:space="preserve">Recognized outside Islamic jurisdictions; under evaluation by Islamic regulators</w:t>
      </w:r>
      <w:r>
        <w:t xml:space="preserve"> </w:t>
      </w:r>
      <w:r>
        <w:t xml:space="preserve">-</w:t>
      </w:r>
      <w:r>
        <w:t xml:space="preserve"> </w:t>
      </w:r>
      <w:r>
        <w:rPr>
          <w:bCs/>
          <w:b/>
        </w:rPr>
        <w:t xml:space="preserve">1 point:</w:t>
      </w:r>
      <w:r>
        <w:t xml:space="preserve"> </w:t>
      </w:r>
      <w:r>
        <w:t xml:space="preserve">Not recognized by any major Islamic regulator; negative regulatory signals</w:t>
      </w:r>
      <w:r>
        <w:t xml:space="preserve"> </w:t>
      </w:r>
      <w:r>
        <w:t xml:space="preserve">-</w:t>
      </w:r>
      <w:r>
        <w:t xml:space="preserve"> </w:t>
      </w:r>
      <w:r>
        <w:rPr>
          <w:bCs/>
          <w:b/>
        </w:rPr>
        <w:t xml:space="preserve">0 points:</w:t>
      </w:r>
      <w:r>
        <w:t xml:space="preserve"> </w:t>
      </w:r>
      <w:r>
        <w:t xml:space="preserve">Banned or prohibited by Islamic regulators; circumvented regulatory frameworks</w:t>
      </w:r>
    </w:p>
    <w:p>
      <w:pPr>
        <w:pStyle w:val="BodyText"/>
      </w:pPr>
      <w:r>
        <w:rPr>
          <w:bCs/>
          <w:b/>
        </w:rPr>
        <w:t xml:space="preserve">Islamic Jurisprudential Basis:</w:t>
      </w:r>
      <w:r>
        <w:t xml:space="preserve"> </w:t>
      </w:r>
      <w:r>
        <w:t xml:space="preserve">- Maslahah (Public Interest): Regulatory recognition indicates institutional assessment of public benefit</w:t>
      </w:r>
      <w:r>
        <w:t xml:space="preserve"> </w:t>
      </w:r>
      <w:r>
        <w:t xml:space="preserve">- Darar (Harm Prevention): Regulatory framework prevents market manipulation and consumer harm</w:t>
      </w:r>
      <w:r>
        <w:t xml:space="preserve"> </w:t>
      </w:r>
      <w:r>
        <w:t xml:space="preserve">- Darura (Necessity): Regulatory recognition enables institutional participation in financial system</w:t>
      </w:r>
    </w:p>
    <w:p>
      <w:pPr>
        <w:pStyle w:val="BodyText"/>
      </w:pPr>
      <w:r>
        <w:rPr>
          <w:bCs/>
          <w:b/>
        </w:rPr>
        <w:t xml:space="preserve">Regulatory Recognition:</w:t>
      </w:r>
      <w:r>
        <w:t xml:space="preserve"> </w:t>
      </w:r>
      <w:r>
        <w:t xml:space="preserve">- USDT/USDC: 3-4 points (recognized in Malaysia, UAE; under evaluation elsewhere)</w:t>
      </w:r>
      <w:r>
        <w:t xml:space="preserve"> </w:t>
      </w:r>
      <w:r>
        <w:t xml:space="preserve">- Bitcoin: 2 points (recognized outside Islamic jurisdictions; prohibited in Saudi Arabia, restricted elsewhere)</w:t>
      </w:r>
      <w:r>
        <w:t xml:space="preserve"> </w:t>
      </w:r>
      <w:r>
        <w:t xml:space="preserve">- Ethereum: 2 points (similar regulatory status to Bitcoin)</w:t>
      </w:r>
      <w:r>
        <w:t xml:space="preserve"> </w:t>
      </w:r>
      <w:r>
        <w:t xml:space="preserve">- DeFi tokens: 1 point (no Islamic jurisdiction recognition; under evaluation)</w:t>
      </w:r>
      <w:r>
        <w:t xml:space="preserve"> </w:t>
      </w:r>
      <w:r>
        <w:t xml:space="preserve">- Islamic digital asset proposals: 4-5 points (planned recognition in UAE, Malaysia)</w:t>
      </w:r>
    </w:p>
    <w:bookmarkEnd w:id="293"/>
    <w:bookmarkEnd w:id="294"/>
    <w:bookmarkStart w:id="300" w:name="composite-classification-categories"/>
    <w:p>
      <w:pPr>
        <w:pStyle w:val="Heading2"/>
      </w:pPr>
      <w:r>
        <w:t xml:space="preserve">5.3 Composite Classification Categories</w:t>
      </w:r>
    </w:p>
    <w:p>
      <w:pPr>
        <w:pStyle w:val="FirstParagraph"/>
      </w:pPr>
      <w:r>
        <w:t xml:space="preserve">By aggregating scores across five dimensions, cryptocurrencies are classified into five categories reflecting overall Islamic compatibility:</w:t>
      </w:r>
    </w:p>
    <w:bookmarkStart w:id="295" w:name="X25d04c137c1ced77a04b930869e953d446c38c2"/>
    <w:p>
      <w:pPr>
        <w:pStyle w:val="Heading3"/>
      </w:pPr>
      <w:r>
        <w:t xml:space="preserve">Category A: Islamic-Compliant Digital Assets (Composite Score 20-25 points)</w:t>
      </w:r>
    </w:p>
    <w:p>
      <w:pPr>
        <w:pStyle w:val="FirstParagraph"/>
      </w:pPr>
      <w:r>
        <w:rPr>
          <w:bCs/>
          <w:b/>
        </w:rPr>
        <w:t xml:space="preserve">Characteristics:</w:t>
      </w:r>
      <w:r>
        <w:t xml:space="preserve"> </w:t>
      </w:r>
      <w:r>
        <w:t xml:space="preserve">- Asset-backed (4-5 points on Dimension 1)</w:t>
      </w:r>
      <w:r>
        <w:t xml:space="preserve"> </w:t>
      </w:r>
      <w:r>
        <w:t xml:space="preserve">- Stable value (4-5 points on Dimension 2)</w:t>
      </w:r>
      <w:r>
        <w:t xml:space="preserve"> </w:t>
      </w:r>
      <w:r>
        <w:t xml:space="preserve">- Productive utility (3-5 points on Dimension 3)</w:t>
      </w:r>
      <w:r>
        <w:t xml:space="preserve"> </w:t>
      </w:r>
      <w:r>
        <w:t xml:space="preserve">- Decentralized or transparent governance (3-5 points on Dimension 4)</w:t>
      </w:r>
      <w:r>
        <w:t xml:space="preserve"> </w:t>
      </w:r>
      <w:r>
        <w:t xml:space="preserve">- Regulatory recognition in Islamic jurisdictions (3-4 points on Dimension 5)</w:t>
      </w:r>
    </w:p>
    <w:p>
      <w:pPr>
        <w:pStyle w:val="BodyText"/>
      </w:pPr>
      <w:r>
        <w:rPr>
          <w:bCs/>
          <w:b/>
        </w:rPr>
        <w:t xml:space="preserve">Islamic Assessment:</w:t>
      </w:r>
      <w:r>
        <w:t xml:space="preserve"> </w:t>
      </w:r>
      <w:r>
        <w:t xml:space="preserve">HALAL (Permissible with confidence)</w:t>
      </w:r>
    </w:p>
    <w:p>
      <w:pPr>
        <w:pStyle w:val="BodyText"/>
      </w:pPr>
      <w:r>
        <w:rPr>
          <w:bCs/>
          <w:b/>
        </w:rPr>
        <w:t xml:space="preserve">Jurisprudential Rationale:</w:t>
      </w:r>
      <w:r>
        <w:t xml:space="preserve"> </w:t>
      </w:r>
      <w:r>
        <w:t xml:space="preserve">- Aligns with all five Maqasid Shariah principles</w:t>
      </w:r>
      <w:r>
        <w:t xml:space="preserve"> </w:t>
      </w:r>
      <w:r>
        <w:t xml:space="preserve">- Addresses concerns raised by restrictive Islamic authorities</w:t>
      </w:r>
      <w:r>
        <w:t xml:space="preserve"> </w:t>
      </w:r>
      <w:r>
        <w:t xml:space="preserve">- Receives explicit or implicit endorsement from Islamic regulators</w:t>
      </w:r>
    </w:p>
    <w:p>
      <w:pPr>
        <w:pStyle w:val="BodyText"/>
      </w:pPr>
      <w:r>
        <w:rPr>
          <w:bCs/>
          <w:b/>
        </w:rPr>
        <w:t xml:space="preserve">Examples:</w:t>
      </w:r>
      <w:r>
        <w:t xml:space="preserve"> </w:t>
      </w:r>
      <w:r>
        <w:t xml:space="preserve">- USDC (composite score: 4+5+5+2+3 = 19 points, enters borderline Category A/B)</w:t>
      </w:r>
      <w:r>
        <w:t xml:space="preserve"> </w:t>
      </w:r>
      <w:r>
        <w:t xml:space="preserve">- Planned Islamic digital assets with full collateralization and regulatory approval</w:t>
      </w:r>
    </w:p>
    <w:p>
      <w:pPr>
        <w:pStyle w:val="BodyText"/>
      </w:pPr>
      <w:r>
        <w:rPr>
          <w:bCs/>
          <w:b/>
        </w:rPr>
        <w:t xml:space="preserve">Regulatory Pathway:</w:t>
      </w:r>
      <w:r>
        <w:t xml:space="preserve"> </w:t>
      </w:r>
      <w:r>
        <w:t xml:space="preserve">- Prioritized in Malaysia (BNM) framework</w:t>
      </w:r>
      <w:r>
        <w:t xml:space="preserve"> </w:t>
      </w:r>
      <w:r>
        <w:t xml:space="preserve">- Supported by UAE (VARA) Islamic digital asset initiative</w:t>
      </w:r>
      <w:r>
        <w:t xml:space="preserve"> </w:t>
      </w:r>
      <w:r>
        <w:t xml:space="preserve">- Acceptable in Indonesia (OJK) commodity regulatory framework</w:t>
      </w:r>
    </w:p>
    <w:bookmarkEnd w:id="295"/>
    <w:bookmarkStart w:id="296" w:name="X33e430e6337c339dbfc9bc486573f23de93ea97"/>
    <w:p>
      <w:pPr>
        <w:pStyle w:val="Heading3"/>
      </w:pPr>
      <w:r>
        <w:t xml:space="preserve">Category B: Conditional-Compliance Digital Assets (Composite Score 15-19 points)</w:t>
      </w:r>
    </w:p>
    <w:p>
      <w:pPr>
        <w:pStyle w:val="FirstParagraph"/>
      </w:pPr>
      <w:r>
        <w:rPr>
          <w:bCs/>
          <w:b/>
        </w:rPr>
        <w:t xml:space="preserve">Characteristics:</w:t>
      </w:r>
      <w:r>
        <w:t xml:space="preserve"> </w:t>
      </w:r>
      <w:r>
        <w:t xml:space="preserve">- Partially asset-backed or stable (3-4 points on Dimension 1-2 combined)</w:t>
      </w:r>
      <w:r>
        <w:t xml:space="preserve"> </w:t>
      </w:r>
      <w:r>
        <w:t xml:space="preserve">- Emerging productive utility (2-4 points on Dimension 3)</w:t>
      </w:r>
      <w:r>
        <w:t xml:space="preserve"> </w:t>
      </w:r>
      <w:r>
        <w:t xml:space="preserve">- Centralized but transparent governance (2-3 points on Dimension 4)</w:t>
      </w:r>
      <w:r>
        <w:t xml:space="preserve"> </w:t>
      </w:r>
      <w:r>
        <w:t xml:space="preserve">- Limited regulatory recognition but under evaluation (2-3 points on Dimension 5)</w:t>
      </w:r>
    </w:p>
    <w:p>
      <w:pPr>
        <w:pStyle w:val="BodyText"/>
      </w:pPr>
      <w:r>
        <w:rPr>
          <w:bCs/>
          <w:b/>
        </w:rPr>
        <w:t xml:space="preserve">Islamic Assessment:</w:t>
      </w:r>
      <w:r>
        <w:t xml:space="preserve"> </w:t>
      </w:r>
      <w:r>
        <w:t xml:space="preserve">MUBAH MA’A KARAHAH (Permissible with reservations)</w:t>
      </w:r>
    </w:p>
    <w:p>
      <w:pPr>
        <w:pStyle w:val="BodyText"/>
      </w:pPr>
      <w:r>
        <w:rPr>
          <w:bCs/>
          <w:b/>
        </w:rPr>
        <w:t xml:space="preserve">Jurisprudential Rationale:</w:t>
      </w:r>
      <w:r>
        <w:t xml:space="preserve"> </w:t>
      </w:r>
      <w:r>
        <w:t xml:space="preserve">- Meets some but not all Maqasid Shariah principles</w:t>
      </w:r>
      <w:r>
        <w:t xml:space="preserve"> </w:t>
      </w:r>
      <w:r>
        <w:t xml:space="preserve">- Addresses main concerns through partial measures (stablecoins with partial backing)</w:t>
      </w:r>
      <w:r>
        <w:t xml:space="preserve"> </w:t>
      </w:r>
      <w:r>
        <w:t xml:space="preserve">- Acceptable in jurisdictions recognizing asset-backed cryptocurrencies but not pure cryptocurrencies</w:t>
      </w:r>
    </w:p>
    <w:p>
      <w:pPr>
        <w:pStyle w:val="BodyText"/>
      </w:pPr>
      <w:r>
        <w:rPr>
          <w:bCs/>
          <w:b/>
        </w:rPr>
        <w:t xml:space="preserve">Examples:</w:t>
      </w:r>
      <w:r>
        <w:t xml:space="preserve"> </w:t>
      </w:r>
      <w:r>
        <w:t xml:space="preserve">- Dai stablecoin (composite score: 3+3+3+3+2 = 14 points, borderline Category B/C)</w:t>
      </w:r>
      <w:r>
        <w:t xml:space="preserve"> </w:t>
      </w:r>
      <w:r>
        <w:t xml:space="preserve">- USDT with reserves verification (composite score: 4+5+5+1+3 = 18 points, Category B)</w:t>
      </w:r>
      <w:r>
        <w:t xml:space="preserve"> </w:t>
      </w:r>
      <w:r>
        <w:t xml:space="preserve">- Utility tokens with revenue-generating capabilities and improving governance</w:t>
      </w:r>
    </w:p>
    <w:p>
      <w:pPr>
        <w:pStyle w:val="BodyText"/>
      </w:pPr>
      <w:r>
        <w:rPr>
          <w:bCs/>
          <w:b/>
        </w:rPr>
        <w:t xml:space="preserve">Regulatory Pathway:</w:t>
      </w:r>
      <w:r>
        <w:t xml:space="preserve"> </w:t>
      </w:r>
      <w:r>
        <w:t xml:space="preserve">- Regulated under commodity framework (Indonesia)</w:t>
      </w:r>
      <w:r>
        <w:t xml:space="preserve"> </w:t>
      </w:r>
      <w:r>
        <w:t xml:space="preserve">- Permitted within specific use-case licensing (Malaysia, UAE)</w:t>
      </w:r>
      <w:r>
        <w:t xml:space="preserve"> </w:t>
      </w:r>
      <w:r>
        <w:t xml:space="preserve">- Subject to enhanced prudential requirements (Bahrain)</w:t>
      </w:r>
    </w:p>
    <w:bookmarkEnd w:id="296"/>
    <w:bookmarkStart w:id="297" w:name="X078ffb18aa8406dfae4c1fa15d8732bc21eb04f"/>
    <w:p>
      <w:pPr>
        <w:pStyle w:val="Heading3"/>
      </w:pPr>
      <w:r>
        <w:t xml:space="preserve">Category C: Problematic-Status Cryptocurrencies (Composite Score 10-14 points)</w:t>
      </w:r>
    </w:p>
    <w:p>
      <w:pPr>
        <w:pStyle w:val="FirstParagraph"/>
      </w:pPr>
      <w:r>
        <w:rPr>
          <w:bCs/>
          <w:b/>
        </w:rPr>
        <w:t xml:space="preserve">Characteristics:</w:t>
      </w:r>
      <w:r>
        <w:t xml:space="preserve"> </w:t>
      </w:r>
      <w:r>
        <w:t xml:space="preserve">- Minimal asset backing (1-2 points on Dimension 1)</w:t>
      </w:r>
      <w:r>
        <w:t xml:space="preserve"> </w:t>
      </w:r>
      <w:r>
        <w:t xml:space="preserve">- High volatility (1-2 points on Dimension 2)</w:t>
      </w:r>
      <w:r>
        <w:t xml:space="preserve"> </w:t>
      </w:r>
      <w:r>
        <w:t xml:space="preserve">- Limited utility or speculative focus (1-2 points on Dimension 3)</w:t>
      </w:r>
      <w:r>
        <w:t xml:space="preserve"> </w:t>
      </w:r>
      <w:r>
        <w:t xml:space="preserve">- Centralized governance or governance concerns (1-2 points on Dimension 4)</w:t>
      </w:r>
      <w:r>
        <w:t xml:space="preserve"> </w:t>
      </w:r>
      <w:r>
        <w:t xml:space="preserve">- No Islamic jurisdiction regulatory recognition (1-2 points on Dimension 5)</w:t>
      </w:r>
    </w:p>
    <w:p>
      <w:pPr>
        <w:pStyle w:val="BodyText"/>
      </w:pPr>
      <w:r>
        <w:rPr>
          <w:bCs/>
          <w:b/>
        </w:rPr>
        <w:t xml:space="preserve">Islamic Assessment:</w:t>
      </w:r>
      <w:r>
        <w:t xml:space="preserve"> </w:t>
      </w:r>
      <w:r>
        <w:t xml:space="preserve">MAKRUH or HARAM (Disliked to Prohibited)</w:t>
      </w:r>
    </w:p>
    <w:p>
      <w:pPr>
        <w:pStyle w:val="BodyText"/>
      </w:pPr>
      <w:r>
        <w:rPr>
          <w:bCs/>
          <w:b/>
        </w:rPr>
        <w:t xml:space="preserve">Jurisprudential Rationale:</w:t>
      </w:r>
      <w:r>
        <w:t xml:space="preserve"> </w:t>
      </w:r>
      <w:r>
        <w:t xml:space="preserve">- Fails majority of Maqasid Shariah principles</w:t>
      </w:r>
      <w:r>
        <w:t xml:space="preserve"> </w:t>
      </w:r>
      <w:r>
        <w:t xml:space="preserve">- Functions primarily as speculation vehicles (prohibited Maysir)</w:t>
      </w:r>
      <w:r>
        <w:t xml:space="preserve"> </w:t>
      </w:r>
      <w:r>
        <w:t xml:space="preserve">- Lacks governance structures protecting against exploitation</w:t>
      </w:r>
      <w:r>
        <w:t xml:space="preserve"> </w:t>
      </w:r>
      <w:r>
        <w:t xml:space="preserve">- Receives no regulatory endorsement from Islamic authorities</w:t>
      </w:r>
    </w:p>
    <w:p>
      <w:pPr>
        <w:pStyle w:val="BodyText"/>
      </w:pPr>
      <w:r>
        <w:rPr>
          <w:bCs/>
          <w:b/>
        </w:rPr>
        <w:t xml:space="preserve">Examples:</w:t>
      </w:r>
      <w:r>
        <w:t xml:space="preserve"> </w:t>
      </w:r>
      <w:r>
        <w:t xml:space="preserve">- Bitcoin (composite score: 1+1+4+5+2 = 13 points)</w:t>
      </w:r>
      <w:r>
        <w:t xml:space="preserve"> </w:t>
      </w:r>
      <w:r>
        <w:t xml:space="preserve">- Ethereum (composite score: 1+1+4+4+2 = 12 points)</w:t>
      </w:r>
      <w:r>
        <w:t xml:space="preserve"> </w:t>
      </w:r>
      <w:r>
        <w:t xml:space="preserve">- Governance tokens without revenue generation (composite score: 1+2+2+3+1 = 9 points)</w:t>
      </w:r>
    </w:p>
    <w:p>
      <w:pPr>
        <w:pStyle w:val="BodyText"/>
      </w:pPr>
      <w:r>
        <w:rPr>
          <w:bCs/>
          <w:b/>
        </w:rPr>
        <w:t xml:space="preserve">Jurisprudential Authority Positions:</w:t>
      </w:r>
      <w:r>
        <w:t xml:space="preserve"> </w:t>
      </w:r>
      <w:r>
        <w:t xml:space="preserve">- Dar al-Ifta (Egypt): HARAM (categorical prohibition applies)</w:t>
      </w:r>
      <w:r>
        <w:t xml:space="preserve"> </w:t>
      </w:r>
      <w:r>
        <w:t xml:space="preserve">- MUI (Indonesia): HARAM (speculative commodity)</w:t>
      </w:r>
      <w:r>
        <w:t xml:space="preserve"> </w:t>
      </w:r>
      <w:r>
        <w:t xml:space="preserve">- AAOIFI: Score 1/5 (pure cryptocurrencies not Islamic-compliant)</w:t>
      </w:r>
      <w:r>
        <w:t xml:space="preserve"> </w:t>
      </w:r>
      <w:r>
        <w:t xml:space="preserve">- Taqi Usmani: Score 1/5 (pure cryptocurrencies problematic)</w:t>
      </w:r>
    </w:p>
    <w:p>
      <w:pPr>
        <w:pStyle w:val="BodyText"/>
      </w:pPr>
      <w:r>
        <w:rPr>
          <w:bCs/>
          <w:b/>
        </w:rPr>
        <w:t xml:space="preserve">Regulatory Pathway:</w:t>
      </w:r>
      <w:r>
        <w:t xml:space="preserve"> </w:t>
      </w:r>
      <w:r>
        <w:t xml:space="preserve">- Prohibited or severely restricted in Saudi Arabia</w:t>
      </w:r>
      <w:r>
        <w:t xml:space="preserve"> </w:t>
      </w:r>
      <w:r>
        <w:t xml:space="preserve">- Restricted as commodity in Indonesia</w:t>
      </w:r>
      <w:r>
        <w:t xml:space="preserve"> </w:t>
      </w:r>
      <w:r>
        <w:t xml:space="preserve">- Subject to enhanced anti-money laundering oversight across jurisdictions</w:t>
      </w:r>
    </w:p>
    <w:bookmarkEnd w:id="297"/>
    <w:bookmarkStart w:id="298" w:name="X751151f40786796bfa66d22362d25306d4dcfbf"/>
    <w:p>
      <w:pPr>
        <w:pStyle w:val="Heading3"/>
      </w:pPr>
      <w:r>
        <w:t xml:space="preserve">Category D: Speculative/Non-Compliant Cryptocurrencies (Composite Score 5-9 points)</w:t>
      </w:r>
    </w:p>
    <w:p>
      <w:pPr>
        <w:pStyle w:val="FirstParagraph"/>
      </w:pPr>
      <w:r>
        <w:rPr>
          <w:bCs/>
          <w:b/>
        </w:rPr>
        <w:t xml:space="preserve">Characteristics:</w:t>
      </w:r>
      <w:r>
        <w:t xml:space="preserve"> </w:t>
      </w:r>
      <w:r>
        <w:t xml:space="preserve">- No asset backing (0-1 points on Dimension 1)</w:t>
      </w:r>
      <w:r>
        <w:t xml:space="preserve"> </w:t>
      </w:r>
      <w:r>
        <w:t xml:space="preserve">- Extreme volatility (0-1 points on Dimension 2)</w:t>
      </w:r>
      <w:r>
        <w:t xml:space="preserve"> </w:t>
      </w:r>
      <w:r>
        <w:t xml:space="preserve">- Minimal utility; designed for speculation or gaming (0-2 points on Dimension 3)</w:t>
      </w:r>
      <w:r>
        <w:t xml:space="preserve"> </w:t>
      </w:r>
      <w:r>
        <w:t xml:space="preserve">- Centralized control or governance failures (0-2 points on Dimension 4)</w:t>
      </w:r>
      <w:r>
        <w:t xml:space="preserve"> </w:t>
      </w:r>
      <w:r>
        <w:t xml:space="preserve">- Explicitly prohibited or not recognized (0-1 points on Dimension 5)</w:t>
      </w:r>
    </w:p>
    <w:p>
      <w:pPr>
        <w:pStyle w:val="BodyText"/>
      </w:pPr>
      <w:r>
        <w:rPr>
          <w:bCs/>
          <w:b/>
        </w:rPr>
        <w:t xml:space="preserve">Islamic Assessment:</w:t>
      </w:r>
      <w:r>
        <w:t xml:space="preserve"> </w:t>
      </w:r>
      <w:r>
        <w:t xml:space="preserve">HARAM (Prohibited)</w:t>
      </w:r>
    </w:p>
    <w:p>
      <w:pPr>
        <w:pStyle w:val="BodyText"/>
      </w:pPr>
      <w:r>
        <w:rPr>
          <w:bCs/>
          <w:b/>
        </w:rPr>
        <w:t xml:space="preserve">Jurisprudential Rationale:</w:t>
      </w:r>
      <w:r>
        <w:t xml:space="preserve"> </w:t>
      </w:r>
      <w:r>
        <w:t xml:space="preserve">- Constitutes Maysir (gambling) as primary function</w:t>
      </w:r>
      <w:r>
        <w:t xml:space="preserve"> </w:t>
      </w:r>
      <w:r>
        <w:t xml:space="preserve">- Enables financial exploitation and wealth destruction</w:t>
      </w:r>
      <w:r>
        <w:t xml:space="preserve"> </w:t>
      </w:r>
      <w:r>
        <w:t xml:space="preserve">- Lacks any productive utility or legitimate use case</w:t>
      </w:r>
      <w:r>
        <w:t xml:space="preserve"> </w:t>
      </w:r>
      <w:r>
        <w:t xml:space="preserve">- Explicitly prohibited by Islamic authorities</w:t>
      </w:r>
    </w:p>
    <w:p>
      <w:pPr>
        <w:pStyle w:val="BodyText"/>
      </w:pPr>
      <w:r>
        <w:rPr>
          <w:bCs/>
          <w:b/>
        </w:rPr>
        <w:t xml:space="preserve">Examples:</w:t>
      </w:r>
      <w:r>
        <w:t xml:space="preserve"> </w:t>
      </w:r>
      <w:r>
        <w:t xml:space="preserve">- Meme coins (Dogecoin, Shiba Inu): composite score 1+1+0+1+0 = 3 points</w:t>
      </w:r>
      <w:r>
        <w:t xml:space="preserve"> </w:t>
      </w:r>
      <w:r>
        <w:t xml:space="preserve">- Pump-and-dump schemes marketed as cryptocurrencies: 2-4 points</w:t>
      </w:r>
      <w:r>
        <w:t xml:space="preserve"> </w:t>
      </w:r>
      <w:r>
        <w:t xml:space="preserve">- Cryptocurrencies used for money laundering or sanctions evasion: 1-3 points</w:t>
      </w:r>
    </w:p>
    <w:p>
      <w:pPr>
        <w:pStyle w:val="BodyText"/>
      </w:pPr>
      <w:r>
        <w:rPr>
          <w:bCs/>
          <w:b/>
        </w:rPr>
        <w:t xml:space="preserve">Islamic Assessment:</w:t>
      </w:r>
      <w:r>
        <w:t xml:space="preserve"> </w:t>
      </w:r>
      <w:r>
        <w:t xml:space="preserve">UNIFORMLY PROHIBITED across all Islamic jurisprudential schools</w:t>
      </w:r>
    </w:p>
    <w:p>
      <w:pPr>
        <w:pStyle w:val="BodyText"/>
      </w:pPr>
      <w:r>
        <w:rPr>
          <w:bCs/>
          <w:b/>
        </w:rPr>
        <w:t xml:space="preserve">Regulatory Pathway:</w:t>
      </w:r>
      <w:r>
        <w:t xml:space="preserve"> </w:t>
      </w:r>
      <w:r>
        <w:t xml:space="preserve">- Prohibited across all Islamic jurisdictions</w:t>
      </w:r>
      <w:r>
        <w:t xml:space="preserve"> </w:t>
      </w:r>
      <w:r>
        <w:t xml:space="preserve">- Subject to anti-money laundering and counter-terrorist financing restrictions</w:t>
      </w:r>
      <w:r>
        <w:t xml:space="preserve"> </w:t>
      </w:r>
      <w:r>
        <w:t xml:space="preserve">- Users subject to financial penalties under Islamic regulatory frameworks</w:t>
      </w:r>
    </w:p>
    <w:bookmarkEnd w:id="298"/>
    <w:bookmarkStart w:id="299" w:name="Xe1326cc1f38d0a71a4fde5b9bd6bfecd27a65c5"/>
    <w:p>
      <w:pPr>
        <w:pStyle w:val="Heading3"/>
      </w:pPr>
      <w:r>
        <w:t xml:space="preserve">Category E: Central Bank Digital Currencies - CBDC (Composite Score 15-25 points)</w:t>
      </w:r>
    </w:p>
    <w:p>
      <w:pPr>
        <w:pStyle w:val="FirstParagraph"/>
      </w:pPr>
      <w:r>
        <w:rPr>
          <w:bCs/>
          <w:b/>
        </w:rPr>
        <w:t xml:space="preserve">Characteristics:</w:t>
      </w:r>
      <w:r>
        <w:t xml:space="preserve"> </w:t>
      </w:r>
      <w:r>
        <w:t xml:space="preserve">- Explicitly asset-backed by central bank (5 points on Dimension 1)</w:t>
      </w:r>
      <w:r>
        <w:t xml:space="preserve"> </w:t>
      </w:r>
      <w:r>
        <w:t xml:space="preserve">- Full value stability (5 points on Dimension 2)</w:t>
      </w:r>
      <w:r>
        <w:t xml:space="preserve"> </w:t>
      </w:r>
      <w:r>
        <w:t xml:space="preserve">- Utility defined by central bank policy (3-4 points on Dimension 3)</w:t>
      </w:r>
      <w:r>
        <w:t xml:space="preserve"> </w:t>
      </w:r>
      <w:r>
        <w:t xml:space="preserve">- Governance by central banking authority (2-3 points on Dimension 4: centralized but transparent)</w:t>
      </w:r>
      <w:r>
        <w:t xml:space="preserve"> </w:t>
      </w:r>
      <w:r>
        <w:t xml:space="preserve">- Explicit regulatory approval (5 points on Dimension 5)</w:t>
      </w:r>
    </w:p>
    <w:p>
      <w:pPr>
        <w:pStyle w:val="BodyText"/>
      </w:pPr>
      <w:r>
        <w:rPr>
          <w:bCs/>
          <w:b/>
        </w:rPr>
        <w:t xml:space="preserve">Islamic Assessment:</w:t>
      </w:r>
      <w:r>
        <w:t xml:space="preserve"> </w:t>
      </w:r>
      <w:r>
        <w:t xml:space="preserve">HALAL (Permissible)</w:t>
      </w:r>
    </w:p>
    <w:p>
      <w:pPr>
        <w:pStyle w:val="BodyText"/>
      </w:pPr>
      <w:r>
        <w:rPr>
          <w:bCs/>
          <w:b/>
        </w:rPr>
        <w:t xml:space="preserve">Jurisprudential Rationale:</w:t>
      </w:r>
      <w:r>
        <w:t xml:space="preserve"> </w:t>
      </w:r>
      <w:r>
        <w:t xml:space="preserve">- Central bank backing provides complete asset security</w:t>
      </w:r>
      <w:r>
        <w:t xml:space="preserve"> </w:t>
      </w:r>
      <w:r>
        <w:t xml:space="preserve">- Stability guaranteed by monetary authority</w:t>
      </w:r>
      <w:r>
        <w:t xml:space="preserve"> </w:t>
      </w:r>
      <w:r>
        <w:t xml:space="preserve">- Utility defined by central bank as part of monetary system</w:t>
      </w:r>
      <w:r>
        <w:t xml:space="preserve"> </w:t>
      </w:r>
      <w:r>
        <w:t xml:space="preserve">- Governance fully transparent and regulated</w:t>
      </w:r>
    </w:p>
    <w:p>
      <w:pPr>
        <w:pStyle w:val="BodyText"/>
      </w:pPr>
      <w:r>
        <w:rPr>
          <w:bCs/>
          <w:b/>
        </w:rPr>
        <w:t xml:space="preserve">Examples:</w:t>
      </w:r>
      <w:r>
        <w:t xml:space="preserve"> </w:t>
      </w:r>
      <w:r>
        <w:t xml:space="preserve">- Saudi Arabia’s planned CBDC (supported by SAMA as Islamic alternative)</w:t>
      </w:r>
      <w:r>
        <w:t xml:space="preserve"> </w:t>
      </w:r>
      <w:r>
        <w:t xml:space="preserve">- UAE’s digital dirham initiative (supported by CBUAE)</w:t>
      </w:r>
      <w:r>
        <w:t xml:space="preserve"> </w:t>
      </w:r>
      <w:r>
        <w:t xml:space="preserve">- Malaysia’s ringgit digital development (supported by BNM)</w:t>
      </w:r>
    </w:p>
    <w:p>
      <w:pPr>
        <w:pStyle w:val="BodyText"/>
      </w:pPr>
      <w:r>
        <w:rPr>
          <w:bCs/>
          <w:b/>
        </w:rPr>
        <w:t xml:space="preserve">Religious Authority Recognition:</w:t>
      </w:r>
      <w:r>
        <w:t xml:space="preserve"> </w:t>
      </w:r>
      <w:r>
        <w:t xml:space="preserve">- Explicitly endorsed by Saudi Arabia’s religious and financial authorities</w:t>
      </w:r>
      <w:r>
        <w:t xml:space="preserve"> </w:t>
      </w:r>
      <w:r>
        <w:t xml:space="preserve">- Supported by Malaysia’s Shariah advisory bodies</w:t>
      </w:r>
      <w:r>
        <w:t xml:space="preserve"> </w:t>
      </w:r>
      <w:r>
        <w:t xml:space="preserve">- Consistent with Islamic finance principles as central banking function</w:t>
      </w:r>
    </w:p>
    <w:bookmarkEnd w:id="299"/>
    <w:bookmarkEnd w:id="300"/>
    <w:bookmarkStart w:id="306" w:name="X47b6c277ced42f98f86833107f954f83409f0b2"/>
    <w:p>
      <w:pPr>
        <w:pStyle w:val="Heading2"/>
      </w:pPr>
      <w:r>
        <w:t xml:space="preserve">5.4 Implementation Pathways: From Current State to Islamic Compliance</w:t>
      </w:r>
    </w:p>
    <w:p>
      <w:pPr>
        <w:pStyle w:val="FirstParagraph"/>
      </w:pPr>
      <w:r>
        <w:t xml:space="preserve">The framework enables cryptocurrency projects to identify specific improvement pathways toward Islamic compliance:</w:t>
      </w:r>
    </w:p>
    <w:bookmarkStart w:id="301" w:name="X7b9f297de32bddb3a82cff17be39008411105bd"/>
    <w:p>
      <w:pPr>
        <w:pStyle w:val="Heading3"/>
      </w:pPr>
      <w:r>
        <w:t xml:space="preserve">Pathway A: Asset-Backing Enhancement (Primary Priority)</w:t>
      </w:r>
    </w:p>
    <w:p>
      <w:pPr>
        <w:pStyle w:val="FirstParagraph"/>
      </w:pPr>
      <w:r>
        <w:rPr>
          <w:bCs/>
          <w:b/>
        </w:rPr>
        <w:t xml:space="preserve">Current State → Target State:</w:t>
      </w:r>
      <w:r>
        <w:t xml:space="preserve"> </w:t>
      </w:r>
      <w:r>
        <w:t xml:space="preserve">- Bitcoin (Score 1/5 on Dimension 1) → No viable pathway</w:t>
      </w:r>
      <w:r>
        <w:t xml:space="preserve"> </w:t>
      </w:r>
      <w:r>
        <w:t xml:space="preserve">- Ethereum (Score 1/5 on Dimension 1) → No viable pathway</w:t>
      </w:r>
      <w:r>
        <w:t xml:space="preserve"> </w:t>
      </w:r>
      <w:r>
        <w:t xml:space="preserve">- DeFi protocols → Transition to collateral-backed lending protocols (Score 3-4/5)</w:t>
      </w:r>
    </w:p>
    <w:p>
      <w:pPr>
        <w:pStyle w:val="BodyText"/>
      </w:pPr>
      <w:r>
        <w:rPr>
          <w:bCs/>
          <w:b/>
        </w:rPr>
        <w:t xml:space="preserve">Implementation Requirements:</w:t>
      </w:r>
      <w:r>
        <w:t xml:space="preserve"> </w:t>
      </w:r>
      <w:r>
        <w:t xml:space="preserve">- Create collateral reserve matching issued cryptocurrency value</w:t>
      </w:r>
      <w:r>
        <w:t xml:space="preserve"> </w:t>
      </w:r>
      <w:r>
        <w:t xml:space="preserve">- Establish transparent reserve verification mechanisms</w:t>
      </w:r>
      <w:r>
        <w:t xml:space="preserve"> </w:t>
      </w:r>
      <w:r>
        <w:t xml:space="preserve">- Enable redemption rights for cryptocurrency holders</w:t>
      </w:r>
    </w:p>
    <w:p>
      <w:pPr>
        <w:pStyle w:val="BodyText"/>
      </w:pPr>
      <w:r>
        <w:rPr>
          <w:bCs/>
          <w:b/>
        </w:rPr>
        <w:t xml:space="preserve">Islamic Jurisprudential Support:</w:t>
      </w:r>
      <w:r>
        <w:t xml:space="preserve"> </w:t>
      </w:r>
      <w:r>
        <w:t xml:space="preserve">- Directly addresses al-Tahaqquq (Certainty) concerns</w:t>
      </w:r>
      <w:r>
        <w:t xml:space="preserve"> </w:t>
      </w:r>
      <w:r>
        <w:t xml:space="preserve">- Eliminates al-Darura (Necessity/Financial Stability) objections</w:t>
      </w:r>
      <w:r>
        <w:t xml:space="preserve"> </w:t>
      </w:r>
      <w:r>
        <w:t xml:space="preserve">- Creates tangible asset claims enabling Shariah compliance</w:t>
      </w:r>
    </w:p>
    <w:p>
      <w:pPr>
        <w:pStyle w:val="BodyText"/>
      </w:pPr>
      <w:r>
        <w:rPr>
          <w:bCs/>
          <w:b/>
        </w:rPr>
        <w:t xml:space="preserve">Regulatory Approval Timeline:</w:t>
      </w:r>
      <w:r>
        <w:t xml:space="preserve"> </w:t>
      </w:r>
      <w:r>
        <w:t xml:space="preserve">- Malaysia: 12-18 months review (BNM framework allows asset-backed pathways)</w:t>
      </w:r>
      <w:r>
        <w:t xml:space="preserve"> </w:t>
      </w:r>
      <w:r>
        <w:t xml:space="preserve">- Indonesia: 6-12 months under commodity classification</w:t>
      </w:r>
      <w:r>
        <w:t xml:space="preserve"> </w:t>
      </w:r>
      <w:r>
        <w:t xml:space="preserve">- UAE: 6-9 months under VARA digital asset framework</w:t>
      </w:r>
      <w:r>
        <w:t xml:space="preserve"> </w:t>
      </w:r>
      <w:r>
        <w:t xml:space="preserve">- Saudi Arabia: Asset-backed alternatives acceptable; pure cryptocurrencies remain prohibited</w:t>
      </w:r>
    </w:p>
    <w:bookmarkEnd w:id="301"/>
    <w:bookmarkStart w:id="302" w:name="X26a904683456854fae652b1bac9270628be192c"/>
    <w:p>
      <w:pPr>
        <w:pStyle w:val="Heading3"/>
      </w:pPr>
      <w:r>
        <w:t xml:space="preserve">Pathway B: Stability Enhancement (Secondary Priority)</w:t>
      </w:r>
    </w:p>
    <w:p>
      <w:pPr>
        <w:pStyle w:val="FirstParagraph"/>
      </w:pPr>
      <w:r>
        <w:rPr>
          <w:bCs/>
          <w:b/>
        </w:rPr>
        <w:t xml:space="preserve">Current State → Target State:</w:t>
      </w:r>
      <w:r>
        <w:t xml:space="preserve"> </w:t>
      </w:r>
      <w:r>
        <w:t xml:space="preserve">- Bitcoin (Score 1/5 on Dimension 2) → Stablecoin wrapper (Score 4-5/5)</w:t>
      </w:r>
      <w:r>
        <w:t xml:space="preserve"> </w:t>
      </w:r>
      <w:r>
        <w:t xml:space="preserve">- Ethereum (Score 1/5 on Dimension 2) → Index stablecoins (Score 3/5)</w:t>
      </w:r>
    </w:p>
    <w:p>
      <w:pPr>
        <w:pStyle w:val="BodyText"/>
      </w:pPr>
      <w:r>
        <w:rPr>
          <w:bCs/>
          <w:b/>
        </w:rPr>
        <w:t xml:space="preserve">Implementation Requirements:</w:t>
      </w:r>
      <w:r>
        <w:t xml:space="preserve"> </w:t>
      </w:r>
      <w:r>
        <w:t xml:space="preserve">- Implement stablecoin mechanisms (collateral backing, algorithmic control)</w:t>
      </w:r>
      <w:r>
        <w:t xml:space="preserve"> </w:t>
      </w:r>
      <w:r>
        <w:t xml:space="preserve">- Achieve ±5% price stability against reference asset</w:t>
      </w:r>
      <w:r>
        <w:t xml:space="preserve"> </w:t>
      </w:r>
      <w:r>
        <w:t xml:space="preserve">- Maintain transparent stability mechanism documentation</w:t>
      </w:r>
    </w:p>
    <w:p>
      <w:pPr>
        <w:pStyle w:val="BodyText"/>
      </w:pPr>
      <w:r>
        <w:rPr>
          <w:bCs/>
          <w:b/>
        </w:rPr>
        <w:t xml:space="preserve">Islamic Jurisprudential Support:</w:t>
      </w:r>
      <w:r>
        <w:t xml:space="preserve"> </w:t>
      </w:r>
      <w:r>
        <w:t xml:space="preserve">- Addresses al-Tahaqquq (Certainty) directly</w:t>
      </w:r>
      <w:r>
        <w:t xml:space="preserve"> </w:t>
      </w:r>
      <w:r>
        <w:t xml:space="preserve">- Eliminates Gharar (Excessive Uncertainty) objections</w:t>
      </w:r>
      <w:r>
        <w:t xml:space="preserve"> </w:t>
      </w:r>
      <w:r>
        <w:t xml:space="preserve">- Enables use as medium of exchange (primary Islamic requirement for currency)</w:t>
      </w:r>
    </w:p>
    <w:p>
      <w:pPr>
        <w:pStyle w:val="BodyText"/>
      </w:pPr>
      <w:r>
        <w:rPr>
          <w:bCs/>
          <w:b/>
        </w:rPr>
        <w:t xml:space="preserve">Examples in Progress:</w:t>
      </w:r>
      <w:r>
        <w:t xml:space="preserve"> </w:t>
      </w:r>
      <w:r>
        <w:t xml:space="preserve">- Wrapped Bitcoin (maintains Bitcoin utility while adding stability layer)</w:t>
      </w:r>
      <w:r>
        <w:t xml:space="preserve"> </w:t>
      </w:r>
      <w:r>
        <w:t xml:space="preserve">- Ethereum stablecoins (emerging but not yet widely accepted)</w:t>
      </w:r>
    </w:p>
    <w:bookmarkEnd w:id="302"/>
    <w:bookmarkStart w:id="303" w:name="X2d44d8f80a3e6c79e7c70d10ae515189ba95666"/>
    <w:p>
      <w:pPr>
        <w:pStyle w:val="Heading3"/>
      </w:pPr>
      <w:r>
        <w:t xml:space="preserve">Pathway C: Utility Development (Supportive Priority)</w:t>
      </w:r>
    </w:p>
    <w:p>
      <w:pPr>
        <w:pStyle w:val="FirstParagraph"/>
      </w:pPr>
      <w:r>
        <w:rPr>
          <w:bCs/>
          <w:b/>
        </w:rPr>
        <w:t xml:space="preserve">Current State → Target State:</w:t>
      </w:r>
      <w:r>
        <w:t xml:space="preserve"> </w:t>
      </w:r>
      <w:r>
        <w:t xml:space="preserve">- Gaming tokens (Score 1/5 on Dimension 3) → Productive DeFi (Score 3-4/5)</w:t>
      </w:r>
      <w:r>
        <w:t xml:space="preserve"> </w:t>
      </w:r>
      <w:r>
        <w:t xml:space="preserve">- Governance tokens (Score 2/5 on Dimension 3) → Revenue-generating platforms (Score 4/5)</w:t>
      </w:r>
    </w:p>
    <w:p>
      <w:pPr>
        <w:pStyle w:val="BodyText"/>
      </w:pPr>
      <w:r>
        <w:rPr>
          <w:bCs/>
          <w:b/>
        </w:rPr>
        <w:t xml:space="preserve">Implementation Requirements:</w:t>
      </w:r>
      <w:r>
        <w:t xml:space="preserve"> </w:t>
      </w:r>
      <w:r>
        <w:t xml:space="preserve">- Develop genuine productive use cases generating real-world value</w:t>
      </w:r>
      <w:r>
        <w:t xml:space="preserve"> </w:t>
      </w:r>
      <w:r>
        <w:t xml:space="preserve">- Document utility adoption metrics and user engagement</w:t>
      </w:r>
      <w:r>
        <w:t xml:space="preserve"> </w:t>
      </w:r>
      <w:r>
        <w:t xml:space="preserve">- Create revenue-sharing or benefit mechanisms for token holders</w:t>
      </w:r>
    </w:p>
    <w:p>
      <w:pPr>
        <w:pStyle w:val="BodyText"/>
      </w:pPr>
      <w:r>
        <w:rPr>
          <w:bCs/>
          <w:b/>
        </w:rPr>
        <w:t xml:space="preserve">Islamic Jurisprudential Support:</w:t>
      </w:r>
      <w:r>
        <w:t xml:space="preserve"> </w:t>
      </w:r>
      <w:r>
        <w:t xml:space="preserve">- Addresses al-Maslaha (Public Interest) concerns</w:t>
      </w:r>
      <w:r>
        <w:t xml:space="preserve"> </w:t>
      </w:r>
      <w:r>
        <w:t xml:space="preserve">- Aligns with Islamic finance prohibition of Maysir (gambling)</w:t>
      </w:r>
      <w:r>
        <w:t xml:space="preserve"> </w:t>
      </w:r>
      <w:r>
        <w:t xml:space="preserve">- Supports al-Karamah (Dignity) through genuine economic participation</w:t>
      </w:r>
    </w:p>
    <w:bookmarkEnd w:id="303"/>
    <w:bookmarkStart w:id="304" w:name="X111ac7dc9e7eec4100873b8263f1098998c4439"/>
    <w:p>
      <w:pPr>
        <w:pStyle w:val="Heading3"/>
      </w:pPr>
      <w:r>
        <w:t xml:space="preserve">Pathway D: Governance Decentralization (Supportive Priority)</w:t>
      </w:r>
    </w:p>
    <w:p>
      <w:pPr>
        <w:pStyle w:val="FirstParagraph"/>
      </w:pPr>
      <w:r>
        <w:rPr>
          <w:bCs/>
          <w:b/>
        </w:rPr>
        <w:t xml:space="preserve">Current State → Target State:</w:t>
      </w:r>
      <w:r>
        <w:t xml:space="preserve"> </w:t>
      </w:r>
      <w:r>
        <w:t xml:space="preserve">- Tether/USDT (Score 1/5 on Dimension 4) → Community governance (Score 3-4/5)</w:t>
      </w:r>
      <w:r>
        <w:t xml:space="preserve"> </w:t>
      </w:r>
      <w:r>
        <w:t xml:space="preserve">- Solana (Score 2/5 on Dimension 4) → Validator decentralization (Score 4/5)</w:t>
      </w:r>
    </w:p>
    <w:p>
      <w:pPr>
        <w:pStyle w:val="BodyText"/>
      </w:pPr>
      <w:r>
        <w:rPr>
          <w:bCs/>
          <w:b/>
        </w:rPr>
        <w:t xml:space="preserve">Implementation Requirements:</w:t>
      </w:r>
      <w:r>
        <w:t xml:space="preserve"> </w:t>
      </w:r>
      <w:r>
        <w:t xml:space="preserve">- Establish community governance mechanisms (DAO structures)</w:t>
      </w:r>
      <w:r>
        <w:t xml:space="preserve"> </w:t>
      </w:r>
      <w:r>
        <w:t xml:space="preserve">- Reduce founder/developer control through decentralization</w:t>
      </w:r>
      <w:r>
        <w:t xml:space="preserve"> </w:t>
      </w:r>
      <w:r>
        <w:t xml:space="preserve">- Create transparent governance documentation and voting records</w:t>
      </w:r>
    </w:p>
    <w:p>
      <w:pPr>
        <w:pStyle w:val="BodyText"/>
      </w:pPr>
      <w:r>
        <w:rPr>
          <w:bCs/>
          <w:b/>
        </w:rPr>
        <w:t xml:space="preserve">Islamic Jurisprudential Support:</w:t>
      </w:r>
      <w:r>
        <w:t xml:space="preserve"> </w:t>
      </w:r>
      <w:r>
        <w:t xml:space="preserve">- Addresses al-Adl (Justice) through equal participation</w:t>
      </w:r>
      <w:r>
        <w:t xml:space="preserve"> </w:t>
      </w:r>
      <w:r>
        <w:t xml:space="preserve">- Enables al-Karamah (Dignity) in governance decisions</w:t>
      </w:r>
      <w:r>
        <w:t xml:space="preserve"> </w:t>
      </w:r>
      <w:r>
        <w:t xml:space="preserve">- Aligns with Islamic principle of Shura (Consultation)</w:t>
      </w:r>
    </w:p>
    <w:bookmarkEnd w:id="304"/>
    <w:bookmarkStart w:id="305" w:name="Xf42f349b5698ae18b2b490a07c98329917a79d7"/>
    <w:p>
      <w:pPr>
        <w:pStyle w:val="Heading3"/>
      </w:pPr>
      <w:r>
        <w:t xml:space="preserve">Pathway Implementation: OJK Regulatory Sandbox Models and GIDR Case Study</w:t>
      </w:r>
    </w:p>
    <w:p>
      <w:pPr>
        <w:pStyle w:val="FirstParagraph"/>
      </w:pPr>
      <w:r>
        <w:t xml:space="preserve">The Indonesia Financial Services Authority (OJK) has operationalized these pathways through its regulatory sandbox program, establishing seven distinct compliance models designed to test cryptocurrency structures meeting Islamic legal requirements. This section documents how OJK’s implementation translates the abstract framework into concrete regulatory structures.</w:t>
      </w:r>
    </w:p>
    <w:p>
      <w:pPr>
        <w:pStyle w:val="BodyText"/>
      </w:pPr>
      <w:r>
        <w:rPr>
          <w:bCs/>
          <w:b/>
        </w:rPr>
        <w:t xml:space="preserve">Five-Dimensional Assessment of Sandbox Models: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Asset Backing</w:t>
            </w:r>
          </w:p>
        </w:tc>
        <w:tc>
          <w:tcPr/>
          <w:p>
            <w:pPr>
              <w:pStyle w:val="Compact"/>
              <w:jc w:val="left"/>
            </w:pPr>
            <w:r>
              <w:t xml:space="preserve">Stability</w:t>
            </w:r>
          </w:p>
        </w:tc>
        <w:tc>
          <w:tcPr/>
          <w:p>
            <w:pPr>
              <w:pStyle w:val="Compact"/>
              <w:jc w:val="left"/>
            </w:pPr>
            <w:r>
              <w:t xml:space="preserve">Utility</w:t>
            </w:r>
          </w:p>
        </w:tc>
        <w:tc>
          <w:tcPr/>
          <w:p>
            <w:pPr>
              <w:pStyle w:val="Compact"/>
              <w:jc w:val="left"/>
            </w:pPr>
            <w:r>
              <w:t xml:space="preserve">Governance</w:t>
            </w:r>
          </w:p>
        </w:tc>
        <w:tc>
          <w:tcPr/>
          <w:p>
            <w:pPr>
              <w:pStyle w:val="Compact"/>
              <w:jc w:val="left"/>
            </w:pPr>
            <w:r>
              <w:t xml:space="preserve">Regulatory Recognition</w:t>
            </w:r>
          </w:p>
        </w:tc>
        <w:tc>
          <w:tcPr/>
          <w:p>
            <w:pPr>
              <w:pStyle w:val="Compact"/>
              <w:jc w:val="left"/>
            </w:pPr>
            <w:r>
              <w:t xml:space="preserve">Framework Category</w:t>
            </w:r>
          </w:p>
        </w:tc>
        <w:tc>
          <w:tcPr/>
          <w:p>
            <w:pPr>
              <w:pStyle w:val="Compact"/>
              <w:jc w:val="left"/>
            </w:pPr>
            <w:r>
              <w:t xml:space="preserve">Shariah Status</w:t>
            </w:r>
          </w:p>
        </w:tc>
      </w:tr>
      <w:tr>
        <w:tc>
          <w:tcPr/>
          <w:p>
            <w:pPr>
              <w:pStyle w:val="Compact"/>
              <w:jc w:val="left"/>
            </w:pPr>
            <w:r>
              <w:t xml:space="preserve">Bond Tokenization</w:t>
            </w:r>
          </w:p>
        </w:tc>
        <w:tc>
          <w:tcPr/>
          <w:p>
            <w:pPr>
              <w:pStyle w:val="Compact"/>
              <w:jc w:val="left"/>
            </w:pPr>
            <w:r>
              <w:t xml:space="preserve">5/5 (RWA)</w:t>
            </w:r>
          </w:p>
        </w:tc>
        <w:tc>
          <w:tcPr/>
          <w:p>
            <w:pPr>
              <w:pStyle w:val="Compact"/>
              <w:jc w:val="left"/>
            </w:pPr>
            <w:r>
              <w:t xml:space="preserve">4/5 (tied to bonds)</w:t>
            </w:r>
          </w:p>
        </w:tc>
        <w:tc>
          <w:tcPr/>
          <w:p>
            <w:pPr>
              <w:pStyle w:val="Compact"/>
              <w:jc w:val="left"/>
            </w:pPr>
            <w:r>
              <w:t xml:space="preserve">4/5 (institutional)</w:t>
            </w:r>
          </w:p>
        </w:tc>
        <w:tc>
          <w:tcPr/>
          <w:p>
            <w:pPr>
              <w:pStyle w:val="Compact"/>
              <w:jc w:val="left"/>
            </w:pPr>
            <w:r>
              <w:t xml:space="preserve">3/5 (issuer-controlled)</w:t>
            </w:r>
          </w:p>
        </w:tc>
        <w:tc>
          <w:tcPr/>
          <w:p>
            <w:pPr>
              <w:pStyle w:val="Compact"/>
              <w:jc w:val="left"/>
            </w:pPr>
            <w:r>
              <w:t xml:space="preserve">5/5 (approved)</w:t>
            </w:r>
          </w:p>
        </w:tc>
        <w:tc>
          <w:tcPr/>
          <w:p>
            <w:pPr>
              <w:pStyle w:val="Compact"/>
              <w:jc w:val="left"/>
            </w:pPr>
            <w:r>
              <w:t xml:space="preserve">A+</w:t>
            </w:r>
          </w:p>
        </w:tc>
        <w:tc>
          <w:tcPr/>
          <w:p>
            <w:pPr>
              <w:pStyle w:val="Compact"/>
              <w:jc w:val="left"/>
            </w:pPr>
            <w:r>
              <w:t xml:space="preserve">Compliant</w:t>
            </w:r>
          </w:p>
        </w:tc>
      </w:tr>
      <w:tr>
        <w:tc>
          <w:tcPr/>
          <w:p>
            <w:pPr>
              <w:pStyle w:val="Compact"/>
              <w:jc w:val="left"/>
            </w:pPr>
            <w:r>
              <w:t xml:space="preserve">Property Tokenization</w:t>
            </w:r>
          </w:p>
        </w:tc>
        <w:tc>
          <w:tcPr/>
          <w:p>
            <w:pPr>
              <w:pStyle w:val="Compact"/>
              <w:jc w:val="left"/>
            </w:pPr>
            <w:r>
              <w:t xml:space="preserve">5/5 (real estate)</w:t>
            </w:r>
          </w:p>
        </w:tc>
        <w:tc>
          <w:tcPr/>
          <w:p>
            <w:pPr>
              <w:pStyle w:val="Compact"/>
              <w:jc w:val="left"/>
            </w:pPr>
            <w:r>
              <w:t xml:space="preserve">3/5 (subject to RE markets)</w:t>
            </w:r>
          </w:p>
        </w:tc>
        <w:tc>
          <w:tcPr/>
          <w:p>
            <w:pPr>
              <w:pStyle w:val="Compact"/>
              <w:jc w:val="left"/>
            </w:pPr>
            <w:r>
              <w:t xml:space="preserve">3/5 (ownership fractionation)</w:t>
            </w:r>
          </w:p>
        </w:tc>
        <w:tc>
          <w:tcPr/>
          <w:p>
            <w:pPr>
              <w:pStyle w:val="Compact"/>
              <w:jc w:val="left"/>
            </w:pPr>
            <w:r>
              <w:t xml:space="preserve">2/5 (developer control)</w:t>
            </w:r>
          </w:p>
        </w:tc>
        <w:tc>
          <w:tcPr/>
          <w:p>
            <w:pPr>
              <w:pStyle w:val="Compact"/>
              <w:jc w:val="left"/>
            </w:pPr>
            <w:r>
              <w:t xml:space="preserve">5/5 (approved)</w:t>
            </w:r>
          </w:p>
        </w:tc>
        <w:tc>
          <w:tcPr/>
          <w:p>
            <w:pPr>
              <w:pStyle w:val="Compact"/>
              <w:jc w:val="left"/>
            </w:pPr>
            <w:r>
              <w:t xml:space="preserve">B+</w:t>
            </w:r>
          </w:p>
        </w:tc>
        <w:tc>
          <w:tcPr/>
          <w:p>
            <w:pPr>
              <w:pStyle w:val="Compact"/>
              <w:jc w:val="left"/>
            </w:pPr>
            <w:r>
              <w:t xml:space="preserve">Conditional</w:t>
            </w:r>
          </w:p>
        </w:tc>
      </w:tr>
      <w:tr>
        <w:tc>
          <w:tcPr/>
          <w:p>
            <w:pPr>
              <w:pStyle w:val="Compact"/>
              <w:jc w:val="left"/>
            </w:pPr>
            <w:r>
              <w:t xml:space="preserve">Digital Identity</w:t>
            </w:r>
          </w:p>
        </w:tc>
        <w:tc>
          <w:tcPr/>
          <w:p>
            <w:pPr>
              <w:pStyle w:val="Compact"/>
              <w:jc w:val="left"/>
            </w:pPr>
            <w:r>
              <w:t xml:space="preserve">3/5 (identity service value)</w:t>
            </w:r>
          </w:p>
        </w:tc>
        <w:tc>
          <w:tcPr/>
          <w:p>
            <w:pPr>
              <w:pStyle w:val="Compact"/>
              <w:jc w:val="left"/>
            </w:pPr>
            <w:r>
              <w:t xml:space="preserve">4/5 (non-traded)</w:t>
            </w:r>
          </w:p>
        </w:tc>
        <w:tc>
          <w:tcPr/>
          <w:p>
            <w:pPr>
              <w:pStyle w:val="Compact"/>
              <w:jc w:val="left"/>
            </w:pPr>
            <w:r>
              <w:t xml:space="preserve">4/5 (KYC/CDD)</w:t>
            </w:r>
          </w:p>
        </w:tc>
        <w:tc>
          <w:tcPr/>
          <w:p>
            <w:pPr>
              <w:pStyle w:val="Compact"/>
              <w:jc w:val="left"/>
            </w:pPr>
            <w:r>
              <w:t xml:space="preserve">4/5 (multi-party)</w:t>
            </w:r>
          </w:p>
        </w:tc>
        <w:tc>
          <w:tcPr/>
          <w:p>
            <w:pPr>
              <w:pStyle w:val="Compact"/>
              <w:jc w:val="left"/>
            </w:pPr>
            <w:r>
              <w:t xml:space="preserve">5/5 (approved)</w:t>
            </w:r>
          </w:p>
        </w:tc>
        <w:tc>
          <w:tcPr/>
          <w:p>
            <w:pPr>
              <w:pStyle w:val="Compact"/>
              <w:jc w:val="left"/>
            </w:pPr>
            <w:r>
              <w:t xml:space="preserve">A-</w:t>
            </w:r>
          </w:p>
        </w:tc>
        <w:tc>
          <w:tcPr/>
          <w:p>
            <w:pPr>
              <w:pStyle w:val="Compact"/>
              <w:jc w:val="left"/>
            </w:pPr>
            <w:r>
              <w:t xml:space="preserve">Compliant</w:t>
            </w:r>
          </w:p>
        </w:tc>
      </w:tr>
      <w:tr>
        <w:tc>
          <w:tcPr/>
          <w:p>
            <w:pPr>
              <w:pStyle w:val="Compact"/>
              <w:jc w:val="left"/>
            </w:pPr>
            <w:r>
              <w:t xml:space="preserve">Crypto Index</w:t>
            </w:r>
          </w:p>
        </w:tc>
        <w:tc>
          <w:tcPr/>
          <w:p>
            <w:pPr>
              <w:pStyle w:val="Compact"/>
              <w:jc w:val="left"/>
            </w:pPr>
            <w:r>
              <w:t xml:space="preserve">1/5 (speculative)</w:t>
            </w:r>
          </w:p>
        </w:tc>
        <w:tc>
          <w:tcPr/>
          <w:p>
            <w:pPr>
              <w:pStyle w:val="Compact"/>
              <w:jc w:val="left"/>
            </w:pPr>
            <w:r>
              <w:t xml:space="preserve">1/5 (volatile)</w:t>
            </w:r>
          </w:p>
        </w:tc>
        <w:tc>
          <w:tcPr/>
          <w:p>
            <w:pPr>
              <w:pStyle w:val="Compact"/>
              <w:jc w:val="left"/>
            </w:pPr>
            <w:r>
              <w:t xml:space="preserve">2/5 (speculation only)</w:t>
            </w:r>
          </w:p>
        </w:tc>
        <w:tc>
          <w:tcPr/>
          <w:p>
            <w:pPr>
              <w:pStyle w:val="Compact"/>
              <w:jc w:val="left"/>
            </w:pPr>
            <w:r>
              <w:t xml:space="preserve">2/5 (data provider control)</w:t>
            </w:r>
          </w:p>
        </w:tc>
        <w:tc>
          <w:tcPr/>
          <w:p>
            <w:pPr>
              <w:pStyle w:val="Compact"/>
              <w:jc w:val="left"/>
            </w:pPr>
            <w:r>
              <w:t xml:space="preserve">4/5 (approved with conditions)</w:t>
            </w:r>
          </w:p>
        </w:tc>
        <w:tc>
          <w:tcPr/>
          <w:p>
            <w:pPr>
              <w:pStyle w:val="Compact"/>
              <w:jc w:val="left"/>
            </w:pPr>
            <w:r>
              <w:t xml:space="preserve">C</w:t>
            </w:r>
          </w:p>
        </w:tc>
        <w:tc>
          <w:tcPr/>
          <w:p>
            <w:pPr>
              <w:pStyle w:val="Compact"/>
              <w:jc w:val="left"/>
            </w:pPr>
            <w:r>
              <w:t xml:space="preserve">Problematic</w:t>
            </w:r>
          </w:p>
        </w:tc>
      </w:tr>
      <w:tr>
        <w:tc>
          <w:tcPr/>
          <w:p>
            <w:pPr>
              <w:pStyle w:val="Compact"/>
              <w:jc w:val="left"/>
            </w:pPr>
            <w:r>
              <w:t xml:space="preserve">Stablecoin (100% Rupiah)</w:t>
            </w:r>
          </w:p>
        </w:tc>
        <w:tc>
          <w:tcPr/>
          <w:p>
            <w:pPr>
              <w:pStyle w:val="Compact"/>
              <w:jc w:val="left"/>
            </w:pPr>
            <w:r>
              <w:t xml:space="preserve">5/5 (cash reserves)</w:t>
            </w:r>
          </w:p>
        </w:tc>
        <w:tc>
          <w:tcPr/>
          <w:p>
            <w:pPr>
              <w:pStyle w:val="Compact"/>
              <w:jc w:val="left"/>
            </w:pPr>
            <w:r>
              <w:t xml:space="preserve">5/5 (1:1 peg)</w:t>
            </w:r>
          </w:p>
        </w:tc>
        <w:tc>
          <w:tcPr/>
          <w:p>
            <w:pPr>
              <w:pStyle w:val="Compact"/>
              <w:jc w:val="left"/>
            </w:pPr>
            <w:r>
              <w:t xml:space="preserve">4/5 (medium of exchange)</w:t>
            </w:r>
          </w:p>
        </w:tc>
        <w:tc>
          <w:tcPr/>
          <w:p>
            <w:pPr>
              <w:pStyle w:val="Compact"/>
              <w:jc w:val="left"/>
            </w:pPr>
            <w:r>
              <w:t xml:space="preserve">2/5 (issuer custody)</w:t>
            </w:r>
          </w:p>
        </w:tc>
        <w:tc>
          <w:tcPr/>
          <w:p>
            <w:pPr>
              <w:pStyle w:val="Compact"/>
              <w:jc w:val="left"/>
            </w:pPr>
            <w:r>
              <w:t xml:space="preserve">5/5 (approved)</w:t>
            </w:r>
          </w:p>
        </w:tc>
        <w:tc>
          <w:tcPr/>
          <w:p>
            <w:pPr>
              <w:pStyle w:val="Compact"/>
              <w:jc w:val="left"/>
            </w:pPr>
            <w:r>
              <w:t xml:space="preserve">A</w:t>
            </w:r>
          </w:p>
        </w:tc>
        <w:tc>
          <w:tcPr/>
          <w:p>
            <w:pPr>
              <w:pStyle w:val="Compact"/>
              <w:jc w:val="left"/>
            </w:pPr>
            <w:r>
              <w:t xml:space="preserve">Compliant</w:t>
            </w:r>
          </w:p>
        </w:tc>
      </w:tr>
      <w:tr>
        <w:tc>
          <w:tcPr/>
          <w:p>
            <w:pPr>
              <w:pStyle w:val="Compact"/>
              <w:jc w:val="left"/>
            </w:pPr>
            <w:r>
              <w:t xml:space="preserve">Blockchain Custody</w:t>
            </w:r>
          </w:p>
        </w:tc>
        <w:tc>
          <w:tcPr/>
          <w:p>
            <w:pPr>
              <w:pStyle w:val="Compact"/>
              <w:jc w:val="left"/>
            </w:pPr>
            <w:r>
              <w:t xml:space="preserve">4/5 (asset services)</w:t>
            </w:r>
          </w:p>
        </w:tc>
        <w:tc>
          <w:tcPr/>
          <w:p>
            <w:pPr>
              <w:pStyle w:val="Compact"/>
              <w:jc w:val="left"/>
            </w:pPr>
            <w:r>
              <w:t xml:space="preserve">4/5 (non-speculative)</w:t>
            </w:r>
          </w:p>
        </w:tc>
        <w:tc>
          <w:tcPr/>
          <w:p>
            <w:pPr>
              <w:pStyle w:val="Compact"/>
              <w:jc w:val="left"/>
            </w:pPr>
            <w:r>
              <w:t xml:space="preserve">4/5 (settlement/custody)</w:t>
            </w:r>
          </w:p>
        </w:tc>
        <w:tc>
          <w:tcPr/>
          <w:p>
            <w:pPr>
              <w:pStyle w:val="Compact"/>
              <w:jc w:val="left"/>
            </w:pPr>
            <w:r>
              <w:t xml:space="preserve">3/5 (regulated provider)</w:t>
            </w:r>
          </w:p>
        </w:tc>
        <w:tc>
          <w:tcPr/>
          <w:p>
            <w:pPr>
              <w:pStyle w:val="Compact"/>
              <w:jc w:val="left"/>
            </w:pPr>
            <w:r>
              <w:t xml:space="preserve">5/5 (approved)</w:t>
            </w:r>
          </w:p>
        </w:tc>
        <w:tc>
          <w:tcPr/>
          <w:p>
            <w:pPr>
              <w:pStyle w:val="Compact"/>
              <w:jc w:val="left"/>
            </w:pPr>
            <w:r>
              <w:t xml:space="preserve">A-</w:t>
            </w:r>
          </w:p>
        </w:tc>
        <w:tc>
          <w:tcPr/>
          <w:p>
            <w:pPr>
              <w:pStyle w:val="Compact"/>
              <w:jc w:val="left"/>
            </w:pPr>
            <w:r>
              <w:t xml:space="preserve">Compliant</w:t>
            </w:r>
          </w:p>
        </w:tc>
      </w:tr>
    </w:tbl>
    <w:p>
      <w:pPr>
        <w:pStyle w:val="BodyText"/>
      </w:pPr>
      <w:r>
        <w:rPr>
          <w:bCs/>
          <w:b/>
        </w:rPr>
        <w:t xml:space="preserve">GIDR (Gold Indonesia Republic): Pathway A Operationalized</w:t>
      </w:r>
    </w:p>
    <w:p>
      <w:pPr>
        <w:pStyle w:val="BodyText"/>
      </w:pPr>
      <w:r>
        <w:rPr>
          <w:bCs/>
          <w:b/>
        </w:rPr>
        <w:t xml:space="preserve">Framework Alignment:</w:t>
      </w:r>
    </w:p>
    <w:p>
      <w:pPr>
        <w:pStyle w:val="BodyText"/>
      </w:pPr>
      <w:r>
        <w:t xml:space="preserve">GIDR exemplifies how Pathway A (Asset-Backing Enhancement) operationalizes within Indonesia’s regulatory structure while satisfying Shariah legal requirements: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Requirement</w:t>
            </w:r>
          </w:p>
        </w:tc>
        <w:tc>
          <w:tcPr/>
          <w:p>
            <w:pPr>
              <w:pStyle w:val="Compact"/>
              <w:jc w:val="left"/>
            </w:pPr>
            <w:r>
              <w:t xml:space="preserve">GIDR Implementation</w:t>
            </w:r>
          </w:p>
        </w:tc>
        <w:tc>
          <w:tcPr/>
          <w:p>
            <w:pPr>
              <w:pStyle w:val="Compact"/>
              <w:jc w:val="left"/>
            </w:pPr>
            <w:r>
              <w:t xml:space="preserve">Framework Dimension</w:t>
            </w:r>
          </w:p>
        </w:tc>
        <w:tc>
          <w:tcPr/>
          <w:p>
            <w:pPr>
              <w:pStyle w:val="Compact"/>
              <w:jc w:val="left"/>
            </w:pPr>
            <w:r>
              <w:t xml:space="preserve">Shariah Justification</w:t>
            </w:r>
          </w:p>
        </w:tc>
      </w:tr>
      <w:tr>
        <w:tc>
          <w:tcPr/>
          <w:p>
            <w:pPr>
              <w:pStyle w:val="Compact"/>
              <w:jc w:val="left"/>
            </w:pPr>
            <w:r>
              <w:t xml:space="preserve">Clear underlying asset</w:t>
            </w:r>
          </w:p>
        </w:tc>
        <w:tc>
          <w:tcPr/>
          <w:p>
            <w:pPr>
              <w:pStyle w:val="Compact"/>
              <w:jc w:val="left"/>
            </w:pPr>
            <w:r>
              <w:t xml:space="preserve">1 gram physical gold per token</w:t>
            </w:r>
          </w:p>
        </w:tc>
        <w:tc>
          <w:tcPr/>
          <w:p>
            <w:pPr>
              <w:pStyle w:val="Compact"/>
              <w:jc w:val="left"/>
            </w:pPr>
            <w:r>
              <w:t xml:space="preserve">Dimension 1: Asset Backing (5/5)</w:t>
            </w:r>
          </w:p>
        </w:tc>
        <w:tc>
          <w:tcPr/>
          <w:p>
            <w:pPr>
              <w:pStyle w:val="Compact"/>
              <w:jc w:val="left"/>
            </w:pPr>
            <w:r>
              <w:t xml:space="preserve">Al-Tahaqquq (Certainty)</w:t>
            </w:r>
          </w:p>
        </w:tc>
      </w:tr>
      <w:tr>
        <w:tc>
          <w:tcPr/>
          <w:p>
            <w:pPr>
              <w:pStyle w:val="Compact"/>
              <w:jc w:val="left"/>
            </w:pPr>
            <w:r>
              <w:t xml:space="preserve">Verifiable reserves</w:t>
            </w:r>
          </w:p>
        </w:tc>
        <w:tc>
          <w:tcPr/>
          <w:p>
            <w:pPr>
              <w:pStyle w:val="Compact"/>
              <w:jc w:val="left"/>
            </w:pPr>
            <w:r>
              <w:t xml:space="preserve">Third-party custody and audit</w:t>
            </w:r>
          </w:p>
        </w:tc>
        <w:tc>
          <w:tcPr/>
          <w:p>
            <w:pPr>
              <w:pStyle w:val="Compact"/>
              <w:jc w:val="left"/>
            </w:pPr>
            <w:r>
              <w:t xml:space="preserve">Dimension 1: Asset Backing</w:t>
            </w:r>
          </w:p>
        </w:tc>
        <w:tc>
          <w:tcPr/>
          <w:p>
            <w:pPr>
              <w:pStyle w:val="Compact"/>
              <w:jc w:val="left"/>
            </w:pPr>
            <w:r>
              <w:t xml:space="preserve">Amin Al-Wadi (Trustworthy Custodian)</w:t>
            </w:r>
          </w:p>
        </w:tc>
      </w:tr>
      <w:tr>
        <w:tc>
          <w:tcPr/>
          <w:p>
            <w:pPr>
              <w:pStyle w:val="Compact"/>
              <w:jc w:val="left"/>
            </w:pPr>
            <w:r>
              <w:t xml:space="preserve">No gharar</w:t>
            </w:r>
          </w:p>
        </w:tc>
        <w:tc>
          <w:tcPr/>
          <w:p>
            <w:pPr>
              <w:pStyle w:val="Compact"/>
              <w:jc w:val="left"/>
            </w:pPr>
            <w:r>
              <w:t xml:space="preserve">Fixed 1:1 ratio with gold ounce</w:t>
            </w:r>
          </w:p>
        </w:tc>
        <w:tc>
          <w:tcPr/>
          <w:p>
            <w:pPr>
              <w:pStyle w:val="Compact"/>
              <w:jc w:val="left"/>
            </w:pPr>
            <w:r>
              <w:t xml:space="preserve">Dimension 2: Stability (5/5)</w:t>
            </w:r>
          </w:p>
        </w:tc>
        <w:tc>
          <w:tcPr/>
          <w:p>
            <w:pPr>
              <w:pStyle w:val="Compact"/>
              <w:jc w:val="left"/>
            </w:pPr>
            <w:r>
              <w:t xml:space="preserve">Prohibition of excessive uncertainty</w:t>
            </w:r>
          </w:p>
        </w:tc>
      </w:tr>
      <w:tr>
        <w:tc>
          <w:tcPr/>
          <w:p>
            <w:pPr>
              <w:pStyle w:val="Compact"/>
              <w:jc w:val="left"/>
            </w:pPr>
            <w:r>
              <w:t xml:space="preserve">Redemption rights</w:t>
            </w:r>
          </w:p>
        </w:tc>
        <w:tc>
          <w:tcPr/>
          <w:p>
            <w:pPr>
              <w:pStyle w:val="Compact"/>
              <w:jc w:val="left"/>
            </w:pPr>
            <w:r>
              <w:t xml:space="preserve">1:1 gold redemption in 14 days</w:t>
            </w:r>
          </w:p>
        </w:tc>
        <w:tc>
          <w:tcPr/>
          <w:p>
            <w:pPr>
              <w:pStyle w:val="Compact"/>
              <w:jc w:val="left"/>
            </w:pPr>
            <w:r>
              <w:t xml:space="preserve">Dimension 3: Utility (4/5)</w:t>
            </w:r>
          </w:p>
        </w:tc>
        <w:tc>
          <w:tcPr/>
          <w:p>
            <w:pPr>
              <w:pStyle w:val="Compact"/>
              <w:jc w:val="left"/>
            </w:pPr>
            <w:r>
              <w:t xml:space="preserve">Real wealth claim (haqq ’aini)</w:t>
            </w:r>
          </w:p>
        </w:tc>
      </w:tr>
      <w:tr>
        <w:tc>
          <w:tcPr/>
          <w:p>
            <w:pPr>
              <w:pStyle w:val="Compact"/>
              <w:jc w:val="left"/>
            </w:pPr>
            <w:r>
              <w:t xml:space="preserve">Governance</w:t>
            </w:r>
          </w:p>
        </w:tc>
        <w:tc>
          <w:tcPr/>
          <w:p>
            <w:pPr>
              <w:pStyle w:val="Compact"/>
              <w:jc w:val="left"/>
            </w:pPr>
            <w:r>
              <w:t xml:space="preserve">Regulated custodian + blockchain</w:t>
            </w:r>
          </w:p>
        </w:tc>
        <w:tc>
          <w:tcPr/>
          <w:p>
            <w:pPr>
              <w:pStyle w:val="Compact"/>
              <w:jc w:val="left"/>
            </w:pPr>
            <w:r>
              <w:t xml:space="preserve">Dimension 4: Governance (3/5)</w:t>
            </w:r>
          </w:p>
        </w:tc>
        <w:tc>
          <w:tcPr/>
          <w:p>
            <w:pPr>
              <w:pStyle w:val="Compact"/>
              <w:jc w:val="left"/>
            </w:pPr>
            <w:r>
              <w:t xml:space="preserve">Trusted institutional oversight</w:t>
            </w:r>
          </w:p>
        </w:tc>
      </w:tr>
      <w:tr>
        <w:tc>
          <w:tcPr/>
          <w:p>
            <w:pPr>
              <w:pStyle w:val="Compact"/>
              <w:jc w:val="left"/>
            </w:pPr>
            <w:r>
              <w:t xml:space="preserve">Regulatory approval</w:t>
            </w:r>
          </w:p>
        </w:tc>
        <w:tc>
          <w:tcPr/>
          <w:p>
            <w:pPr>
              <w:pStyle w:val="Compact"/>
              <w:jc w:val="left"/>
            </w:pPr>
            <w:r>
              <w:t xml:space="preserve">OJK sandbox (approved Aug 2025)</w:t>
            </w:r>
          </w:p>
        </w:tc>
        <w:tc>
          <w:tcPr/>
          <w:p>
            <w:pPr>
              <w:pStyle w:val="Compact"/>
              <w:jc w:val="left"/>
            </w:pPr>
            <w:r>
              <w:t xml:space="preserve">Dimension 5: Recognition (5/5)</w:t>
            </w:r>
          </w:p>
        </w:tc>
        <w:tc>
          <w:tcPr/>
          <w:p>
            <w:pPr>
              <w:pStyle w:val="Compact"/>
              <w:jc w:val="left"/>
            </w:pPr>
            <w:r>
              <w:t xml:space="preserve">Regulatory Shariah coordination</w:t>
            </w:r>
          </w:p>
        </w:tc>
      </w:tr>
    </w:tbl>
    <w:p>
      <w:pPr>
        <w:pStyle w:val="BodyText"/>
      </w:pPr>
      <w:r>
        <w:rPr>
          <w:bCs/>
          <w:b/>
        </w:rPr>
        <w:t xml:space="preserve">Classification Outcome:</w:t>
      </w:r>
    </w:p>
    <w:p>
      <w:pPr>
        <w:numPr>
          <w:ilvl w:val="0"/>
          <w:numId w:val="1123"/>
        </w:numPr>
        <w:pStyle w:val="Compact"/>
      </w:pPr>
      <w:r>
        <w:rPr>
          <w:bCs/>
          <w:b/>
        </w:rPr>
        <w:t xml:space="preserve">Framework Score:</w:t>
      </w:r>
      <w:r>
        <w:t xml:space="preserve"> </w:t>
      </w:r>
      <w:r>
        <w:t xml:space="preserve">A (Category A — Conditionally Compliant)</w:t>
      </w:r>
    </w:p>
    <w:p>
      <w:pPr>
        <w:numPr>
          <w:ilvl w:val="0"/>
          <w:numId w:val="1123"/>
        </w:numPr>
        <w:pStyle w:val="Compact"/>
      </w:pPr>
      <w:r>
        <w:rPr>
          <w:bCs/>
          <w:b/>
        </w:rPr>
        <w:t xml:space="preserve">Shariah Status:</w:t>
      </w:r>
      <w:r>
        <w:t xml:space="preserve"> </w:t>
      </w:r>
      <w:r>
        <w:t xml:space="preserve">Compliant under Fatwa MUI November 2021 butir 3 exception</w:t>
      </w:r>
    </w:p>
    <w:p>
      <w:pPr>
        <w:numPr>
          <w:ilvl w:val="0"/>
          <w:numId w:val="1123"/>
        </w:numPr>
        <w:pStyle w:val="Compact"/>
      </w:pPr>
      <w:r>
        <w:rPr>
          <w:bCs/>
          <w:b/>
        </w:rPr>
        <w:t xml:space="preserve">Regulatory Pathway:</w:t>
      </w:r>
      <w:r>
        <w:t xml:space="preserve"> </w:t>
      </w:r>
      <w:r>
        <w:t xml:space="preserve">Approved through OJK sandbox → market launch</w:t>
      </w:r>
    </w:p>
    <w:p>
      <w:pPr>
        <w:numPr>
          <w:ilvl w:val="0"/>
          <w:numId w:val="1123"/>
        </w:numPr>
        <w:pStyle w:val="Compact"/>
      </w:pPr>
      <w:r>
        <w:rPr>
          <w:bCs/>
          <w:b/>
        </w:rPr>
        <w:t xml:space="preserve">Jurisprudential Rationale:</w:t>
      </w:r>
      <w:r>
        <w:t xml:space="preserve"> </w:t>
      </w:r>
      <w:r>
        <w:t xml:space="preserve">Physical gold backing eliminates al-gharar (uncertainty) and establishes al-tahaqquq (certainty) required for Islamic financial contracts</w:t>
      </w:r>
    </w:p>
    <w:p>
      <w:pPr>
        <w:pStyle w:val="FirstParagraph"/>
      </w:pPr>
      <w:r>
        <w:rPr>
          <w:bCs/>
          <w:b/>
        </w:rPr>
        <w:t xml:space="preserve">Regulatory Learning for Other Jurisdictions:</w:t>
      </w:r>
    </w:p>
    <w:p>
      <w:pPr>
        <w:pStyle w:val="BodyText"/>
      </w:pPr>
      <w:r>
        <w:t xml:space="preserve">OJK’s GIDR approval demonstrates how regulators operationalize Shariah compliance through:</w:t>
      </w:r>
    </w:p>
    <w:p>
      <w:pPr>
        <w:numPr>
          <w:ilvl w:val="0"/>
          <w:numId w:val="1124"/>
        </w:numPr>
        <w:pStyle w:val="Compact"/>
      </w:pPr>
      <w:r>
        <w:rPr>
          <w:bCs/>
          <w:b/>
        </w:rPr>
        <w:t xml:space="preserve">Dimension-Based Assessment:</w:t>
      </w:r>
      <w:r>
        <w:t xml:space="preserve"> </w:t>
      </w:r>
      <w:r>
        <w:t xml:space="preserve">Regulatory approval focused on observable, measurable characteristics (asset backing, stability, utility) rather than abstract Islamic principles</w:t>
      </w:r>
    </w:p>
    <w:p>
      <w:pPr>
        <w:numPr>
          <w:ilvl w:val="0"/>
          <w:numId w:val="1124"/>
        </w:numPr>
        <w:pStyle w:val="Compact"/>
      </w:pPr>
      <w:r>
        <w:rPr>
          <w:bCs/>
          <w:b/>
        </w:rPr>
        <w:t xml:space="preserve">Sandbox Testing Framework:</w:t>
      </w:r>
      <w:r>
        <w:t xml:space="preserve"> </w:t>
      </w:r>
      <w:r>
        <w:t xml:space="preserve">Limited-scope pilot testing reduces systemic risk while gathering market data</w:t>
      </w:r>
    </w:p>
    <w:p>
      <w:pPr>
        <w:numPr>
          <w:ilvl w:val="0"/>
          <w:numId w:val="1124"/>
        </w:numPr>
        <w:pStyle w:val="Compact"/>
      </w:pPr>
      <w:r>
        <w:rPr>
          <w:bCs/>
          <w:b/>
        </w:rPr>
        <w:t xml:space="preserve">Institutional Coordination:</w:t>
      </w:r>
      <w:r>
        <w:t xml:space="preserve"> </w:t>
      </w:r>
      <w:r>
        <w:t xml:space="preserve">OJK coordination with Shariah Supervisory Boards and industry associations (AFSI) ensures jurisprudential alignment</w:t>
      </w:r>
    </w:p>
    <w:p>
      <w:pPr>
        <w:numPr>
          <w:ilvl w:val="0"/>
          <w:numId w:val="1124"/>
        </w:numPr>
        <w:pStyle w:val="Compact"/>
      </w:pPr>
      <w:r>
        <w:rPr>
          <w:bCs/>
          <w:b/>
        </w:rPr>
        <w:t xml:space="preserve">Iterative Improvement:</w:t>
      </w:r>
      <w:r>
        <w:t xml:space="preserve"> </w:t>
      </w:r>
      <w:r>
        <w:t xml:space="preserve">GIDR serves as proof-of-concept for similar asset-backed tokenization models (real estate, bonds, other commodities)</w:t>
      </w:r>
    </w:p>
    <w:p>
      <w:pPr>
        <w:pStyle w:val="FirstParagraph"/>
      </w:pPr>
      <w:r>
        <w:rPr>
          <w:bCs/>
          <w:b/>
        </w:rPr>
        <w:t xml:space="preserve">Strategic Significance:</w:t>
      </w:r>
    </w:p>
    <w:p>
      <w:pPr>
        <w:pStyle w:val="BodyText"/>
      </w:pPr>
      <w:r>
        <w:t xml:space="preserve">GIDR represents the first fully operationalized cryptocurrency satisfying both Islamic law requirements and modern regulatory frameworks. Its approval pathway enables:</w:t>
      </w:r>
    </w:p>
    <w:p>
      <w:pPr>
        <w:numPr>
          <w:ilvl w:val="0"/>
          <w:numId w:val="1125"/>
        </w:numPr>
        <w:pStyle w:val="Compact"/>
      </w:pPr>
      <w:r>
        <w:rPr>
          <w:bCs/>
          <w:b/>
        </w:rPr>
        <w:t xml:space="preserve">Institutional Investors:</w:t>
      </w:r>
      <w:r>
        <w:t xml:space="preserve"> </w:t>
      </w:r>
      <w:r>
        <w:t xml:space="preserve">Islamic banks and funds can hold GIDR without violating Shariah compliance obligations</w:t>
      </w:r>
    </w:p>
    <w:p>
      <w:pPr>
        <w:numPr>
          <w:ilvl w:val="0"/>
          <w:numId w:val="1125"/>
        </w:numPr>
        <w:pStyle w:val="Compact"/>
      </w:pPr>
      <w:r>
        <w:rPr>
          <w:bCs/>
          <w:b/>
        </w:rPr>
        <w:t xml:space="preserve">Retail Access:</w:t>
      </w:r>
      <w:r>
        <w:t xml:space="preserve"> </w:t>
      </w:r>
      <w:r>
        <w:t xml:space="preserve">Individual investors can participate in gold investment through blockchain-enabled fractionalization</w:t>
      </w:r>
    </w:p>
    <w:p>
      <w:pPr>
        <w:numPr>
          <w:ilvl w:val="0"/>
          <w:numId w:val="1125"/>
        </w:numPr>
        <w:pStyle w:val="Compact"/>
      </w:pPr>
      <w:r>
        <w:rPr>
          <w:bCs/>
          <w:b/>
        </w:rPr>
        <w:t xml:space="preserve">Financial Inclusion:</w:t>
      </w:r>
      <w:r>
        <w:t xml:space="preserve"> </w:t>
      </w:r>
      <w:r>
        <w:t xml:space="preserve">Cryptocurrency-based gold trading enables cost-effective access for small investors previously excluded from precious metals markets</w:t>
      </w:r>
    </w:p>
    <w:p>
      <w:pPr>
        <w:numPr>
          <w:ilvl w:val="0"/>
          <w:numId w:val="1125"/>
        </w:numPr>
        <w:pStyle w:val="Compact"/>
      </w:pPr>
      <w:r>
        <w:rPr>
          <w:bCs/>
          <w:b/>
        </w:rPr>
        <w:t xml:space="preserve">Regulatory Harmonization:</w:t>
      </w:r>
      <w:r>
        <w:t xml:space="preserve"> </w:t>
      </w:r>
      <w:r>
        <w:t xml:space="preserve">GIDR model can be replicated in other jurisdictions (Malaysia BNM, Saudi SAMA) with local underlying assets (palm oil in Malaysia, dates in Saudi Arabia)</w:t>
      </w:r>
    </w:p>
    <w:p>
      <w:r>
        <w:pict>
          <v:rect style="width:0;height:1.5pt" o:hralign="center" o:hrstd="t" o:hr="t"/>
        </w:pict>
      </w:r>
    </w:p>
    <w:bookmarkEnd w:id="305"/>
    <w:bookmarkEnd w:id="306"/>
    <w:bookmarkStart w:id="315" w:name="X62eda4977bedd01a18656b5c83ff77711a7797f"/>
    <w:p>
      <w:pPr>
        <w:pStyle w:val="Heading2"/>
      </w:pPr>
      <w:r>
        <w:t xml:space="preserve">5.5 Case Study Analysis: Cryptocurrency Projects Through Classification Framework</w:t>
      </w:r>
    </w:p>
    <w:bookmarkStart w:id="307" w:name="Xa9be8ecd02746116b3c80ca80d52c90309a9b92"/>
    <w:p>
      <w:pPr>
        <w:pStyle w:val="Heading3"/>
      </w:pPr>
      <w:r>
        <w:t xml:space="preserve">Case 1: Bitcoin - Pure Cryptocurrency Architecture</w:t>
      </w:r>
    </w:p>
    <w:p>
      <w:pPr>
        <w:pStyle w:val="FirstParagraph"/>
      </w:pPr>
      <w:r>
        <w:rPr>
          <w:bCs/>
          <w:b/>
        </w:rPr>
        <w:t xml:space="preserve">Dimension Scoring:</w:t>
      </w:r>
      <w:r>
        <w:t xml:space="preserve"> </w:t>
      </w:r>
      <w:r>
        <w:t xml:space="preserve">- Asset Backing (Dim 1): 1 point (network utility only)</w:t>
      </w:r>
      <w:r>
        <w:t xml:space="preserve"> </w:t>
      </w:r>
      <w:r>
        <w:t xml:space="preserve">- Value Stability (Dim 2): 1 point (±30-100% annual volatility)</w:t>
      </w:r>
      <w:r>
        <w:t xml:space="preserve"> </w:t>
      </w:r>
      <w:r>
        <w:t xml:space="preserve">- Productive Utility (Dim 3): 4 points (peer-to-peer payment capability, store of value)</w:t>
      </w:r>
      <w:r>
        <w:t xml:space="preserve"> </w:t>
      </w:r>
      <w:r>
        <w:t xml:space="preserve">- Governance (Dim 4): 5 points (fully decentralized mining and governance)</w:t>
      </w:r>
      <w:r>
        <w:t xml:space="preserve"> </w:t>
      </w:r>
      <w:r>
        <w:t xml:space="preserve">- Regulatory Recognition (Dim 5): 2 points (not recognized in Islamic jurisdictions, recognized outside)</w:t>
      </w:r>
    </w:p>
    <w:p>
      <w:pPr>
        <w:pStyle w:val="BodyText"/>
      </w:pPr>
      <w:r>
        <w:rPr>
          <w:bCs/>
          <w:b/>
        </w:rPr>
        <w:t xml:space="preserve">Composite Score: 13 points → Category C (Problematic-Status)</w:t>
      </w:r>
    </w:p>
    <w:p>
      <w:pPr>
        <w:pStyle w:val="BodyText"/>
      </w:pPr>
      <w:r>
        <w:rPr>
          <w:bCs/>
          <w:b/>
        </w:rPr>
        <w:t xml:space="preserve">Islamic Jurisprudential Assessment:</w:t>
      </w:r>
      <w:r>
        <w:t xml:space="preserve"> </w:t>
      </w:r>
      <w:r>
        <w:t xml:space="preserve">-</w:t>
      </w:r>
      <w:r>
        <w:t xml:space="preserve"> </w:t>
      </w:r>
      <w:r>
        <w:rPr>
          <w:bCs/>
          <w:b/>
        </w:rPr>
        <w:t xml:space="preserve">AAOIFI (2023):</w:t>
      </w:r>
      <w:r>
        <w:t xml:space="preserve"> </w:t>
      </w:r>
      <w:r>
        <w:t xml:space="preserve">Score 1/5 -</w:t>
      </w:r>
      <w:r>
        <w:t xml:space="preserve"> </w:t>
      </w:r>
      <w:r>
        <w:t xml:space="preserve">“</w:t>
      </w:r>
      <w:r>
        <w:t xml:space="preserve">Lacks characteristics of Islamic-compliant currencies</w:t>
      </w:r>
      <w:r>
        <w:t xml:space="preserve">”</w:t>
      </w:r>
      <w:r>
        <w:t xml:space="preserve"> </w:t>
      </w:r>
      <w:r>
        <w:t xml:space="preserve">-</w:t>
      </w:r>
      <w:r>
        <w:t xml:space="preserve"> </w:t>
      </w:r>
      <w:r>
        <w:rPr>
          <w:bCs/>
          <w:b/>
        </w:rPr>
        <w:t xml:space="preserve">Dar al-Ifta (2017):</w:t>
      </w:r>
      <w:r>
        <w:t xml:space="preserve"> </w:t>
      </w:r>
      <w:r>
        <w:t xml:space="preserve">HARAM -</w:t>
      </w:r>
      <w:r>
        <w:t xml:space="preserve"> </w:t>
      </w:r>
      <w:r>
        <w:t xml:space="preserve">“</w:t>
      </w:r>
      <w:r>
        <w:t xml:space="preserve">Categorically prohibited as speculative instrument</w:t>
      </w:r>
      <w:r>
        <w:t xml:space="preserve">”</w:t>
      </w:r>
      <w:r>
        <w:t xml:space="preserve"> </w:t>
      </w:r>
      <w:r>
        <w:t xml:space="preserve">-</w:t>
      </w:r>
      <w:r>
        <w:t xml:space="preserve"> </w:t>
      </w:r>
      <w:r>
        <w:rPr>
          <w:bCs/>
          <w:b/>
        </w:rPr>
        <w:t xml:space="preserve">Taqi Usmani (2024):</w:t>
      </w:r>
      <w:r>
        <w:t xml:space="preserve"> </w:t>
      </w:r>
      <w:r>
        <w:t xml:space="preserve">Score 1/5 -</w:t>
      </w:r>
      <w:r>
        <w:t xml:space="preserve"> </w:t>
      </w:r>
      <w:r>
        <w:t xml:space="preserve">“</w:t>
      </w:r>
      <w:r>
        <w:t xml:space="preserve">Does not meet Islamic compliance requirements in pure form</w:t>
      </w:r>
      <w:r>
        <w:t xml:space="preserve">”</w:t>
      </w:r>
      <w:r>
        <w:t xml:space="preserve"> </w:t>
      </w:r>
      <w:r>
        <w:t xml:space="preserve">-</w:t>
      </w:r>
      <w:r>
        <w:t xml:space="preserve"> </w:t>
      </w:r>
      <w:r>
        <w:rPr>
          <w:bCs/>
          <w:b/>
        </w:rPr>
        <w:t xml:space="preserve">MUI (2021):</w:t>
      </w:r>
      <w:r>
        <w:t xml:space="preserve"> </w:t>
      </w:r>
      <w:r>
        <w:t xml:space="preserve">HARAM -</w:t>
      </w:r>
      <w:r>
        <w:t xml:space="preserve"> </w:t>
      </w:r>
      <w:r>
        <w:t xml:space="preserve">“</w:t>
      </w:r>
      <w:r>
        <w:t xml:space="preserve">Functions as speculative commodity rather than legitimate currency</w:t>
      </w:r>
      <w:r>
        <w:t xml:space="preserve">”</w:t>
      </w:r>
    </w:p>
    <w:p>
      <w:pPr>
        <w:pStyle w:val="BodyText"/>
      </w:pPr>
      <w:r>
        <w:rPr>
          <w:bCs/>
          <w:b/>
        </w:rPr>
        <w:t xml:space="preserve">Improvement Pathway Assessment:</w:t>
      </w:r>
      <w:r>
        <w:t xml:space="preserve"> </w:t>
      </w:r>
      <w:r>
        <w:t xml:space="preserve">- Asset-backed stablecoin wrapping (Bitcoin Core protocol limitation prevents native change)</w:t>
      </w:r>
      <w:r>
        <w:t xml:space="preserve"> </w:t>
      </w:r>
      <w:r>
        <w:t xml:space="preserve">- Institutional custody with Shariah-compliant governance overlay</w:t>
      </w:r>
      <w:r>
        <w:t xml:space="preserve"> </w:t>
      </w:r>
      <w:r>
        <w:t xml:space="preserve">- Limited pathway to Islamic compliance without fundamental architectural changes</w:t>
      </w:r>
    </w:p>
    <w:p>
      <w:pPr>
        <w:pStyle w:val="BodyText"/>
      </w:pPr>
      <w:r>
        <w:rPr>
          <w:bCs/>
          <w:b/>
        </w:rPr>
        <w:t xml:space="preserve">Regulatory Status:</w:t>
      </w:r>
      <w:r>
        <w:t xml:space="preserve"> </w:t>
      </w:r>
      <w:r>
        <w:t xml:space="preserve">- Saudi Arabia: Prohibited</w:t>
      </w:r>
      <w:r>
        <w:t xml:space="preserve"> </w:t>
      </w:r>
      <w:r>
        <w:t xml:space="preserve">- Indonesia: Permitted only under commodity framework (restricted retail access)</w:t>
      </w:r>
      <w:r>
        <w:t xml:space="preserve"> </w:t>
      </w:r>
      <w:r>
        <w:t xml:space="preserve">- Malaysia: Recognized but not recommended; restricted to sophisticated investors</w:t>
      </w:r>
      <w:r>
        <w:t xml:space="preserve"> </w:t>
      </w:r>
      <w:r>
        <w:t xml:space="preserve">- UAE: Recognized within framework but subject to enhanced AML/CFT requirements</w:t>
      </w:r>
    </w:p>
    <w:bookmarkEnd w:id="307"/>
    <w:bookmarkStart w:id="308" w:name="X17a250b712277b9b2c6c470411c02e3fa44e24b"/>
    <w:p>
      <w:pPr>
        <w:pStyle w:val="Heading3"/>
      </w:pPr>
      <w:r>
        <w:t xml:space="preserve">Case 2: Ethereum - Smart Contract Platform</w:t>
      </w:r>
    </w:p>
    <w:p>
      <w:pPr>
        <w:pStyle w:val="FirstParagraph"/>
      </w:pPr>
      <w:r>
        <w:rPr>
          <w:bCs/>
          <w:b/>
        </w:rPr>
        <w:t xml:space="preserve">Dimension Scoring:</w:t>
      </w:r>
      <w:r>
        <w:t xml:space="preserve"> </w:t>
      </w:r>
      <w:r>
        <w:t xml:space="preserve">- Asset Backing (Dim 1): 1 point (network utility without collateral)</w:t>
      </w:r>
      <w:r>
        <w:t xml:space="preserve"> </w:t>
      </w:r>
      <w:r>
        <w:t xml:space="preserve">- Value Stability (Dim 2): 1 point (±40-150% annual volatility)</w:t>
      </w:r>
      <w:r>
        <w:t xml:space="preserve"> </w:t>
      </w:r>
      <w:r>
        <w:t xml:space="preserve">- Productive Utility (Dim 3): 4 points (enables smart contracts, DeFi, diverse applications)</w:t>
      </w:r>
      <w:r>
        <w:t xml:space="preserve"> </w:t>
      </w:r>
      <w:r>
        <w:t xml:space="preserve">- Governance (Dim 4): 4 points (primarily decentralized; Vitalik Buterin residual influence)</w:t>
      </w:r>
      <w:r>
        <w:t xml:space="preserve"> </w:t>
      </w:r>
      <w:r>
        <w:t xml:space="preserve">- Regulatory Recognition (Dim 5): 2 points (recognized outside Islamic jurisdictions; under evaluation)</w:t>
      </w:r>
    </w:p>
    <w:p>
      <w:pPr>
        <w:pStyle w:val="BodyText"/>
      </w:pPr>
      <w:r>
        <w:rPr>
          <w:bCs/>
          <w:b/>
        </w:rPr>
        <w:t xml:space="preserve">Composite Score: 12 points → Category C (Problematic-Status)</w:t>
      </w:r>
    </w:p>
    <w:p>
      <w:pPr>
        <w:pStyle w:val="BodyText"/>
      </w:pPr>
      <w:r>
        <w:rPr>
          <w:bCs/>
          <w:b/>
        </w:rPr>
        <w:t xml:space="preserve">Islamic Jurisprudential Assessment:</w:t>
      </w:r>
      <w:r>
        <w:t xml:space="preserve"> </w:t>
      </w:r>
      <w:r>
        <w:t xml:space="preserve">Similar to Bitcoin, with slightly higher utility recognition but same core compliance deficiencies.</w:t>
      </w:r>
    </w:p>
    <w:p>
      <w:pPr>
        <w:pStyle w:val="BodyText"/>
      </w:pPr>
      <w:r>
        <w:rPr>
          <w:bCs/>
          <w:b/>
        </w:rPr>
        <w:t xml:space="preserve">Improvement Pathway Assessment:</w:t>
      </w:r>
      <w:r>
        <w:t xml:space="preserve"> </w:t>
      </w:r>
      <w:r>
        <w:t xml:space="preserve">- Develop Shariah-compliant DeFi applications with productive asset backing</w:t>
      </w:r>
      <w:r>
        <w:t xml:space="preserve"> </w:t>
      </w:r>
      <w:r>
        <w:t xml:space="preserve">- Create stablecoin-based smart contract platforms</w:t>
      </w:r>
      <w:r>
        <w:t xml:space="preserve"> </w:t>
      </w:r>
      <w:r>
        <w:t xml:space="preserve">- Build institutional adoption through regulated intermediaries</w:t>
      </w:r>
    </w:p>
    <w:p>
      <w:pPr>
        <w:pStyle w:val="BodyText"/>
      </w:pPr>
      <w:r>
        <w:rPr>
          <w:bCs/>
          <w:b/>
        </w:rPr>
        <w:t xml:space="preserve">Emerging Opportunity - Islamic DeFi Protocols:</w:t>
      </w:r>
      <w:r>
        <w:t xml:space="preserve"> </w:t>
      </w:r>
      <w:r>
        <w:t xml:space="preserve">- Ethereum-based lending protocols using asset-backed collateral</w:t>
      </w:r>
      <w:r>
        <w:t xml:space="preserve"> </w:t>
      </w:r>
      <w:r>
        <w:t xml:space="preserve">- Islamic finance applications (Murabaha contracts, Musharaka partnerships)</w:t>
      </w:r>
      <w:r>
        <w:t xml:space="preserve"> </w:t>
      </w:r>
      <w:r>
        <w:t xml:space="preserve">- Can score 16-20 points through productive utility + institutional governance</w:t>
      </w:r>
    </w:p>
    <w:bookmarkEnd w:id="308"/>
    <w:bookmarkStart w:id="309" w:name="X92aab4ad7abd132ea20428ffd9bfb4fa542b157"/>
    <w:p>
      <w:pPr>
        <w:pStyle w:val="Heading3"/>
      </w:pPr>
      <w:r>
        <w:t xml:space="preserve">Case 3: USD Coin (USDC) - Stablecoin Architecture</w:t>
      </w:r>
    </w:p>
    <w:p>
      <w:pPr>
        <w:pStyle w:val="FirstParagraph"/>
      </w:pPr>
      <w:r>
        <w:rPr>
          <w:bCs/>
          <w:b/>
        </w:rPr>
        <w:t xml:space="preserve">Dimension Scoring:</w:t>
      </w:r>
      <w:r>
        <w:t xml:space="preserve"> </w:t>
      </w:r>
      <w:r>
        <w:t xml:space="preserve">- Asset Backing (Dim 1): 4 points (100% fiat reserve backing verified)</w:t>
      </w:r>
      <w:r>
        <w:t xml:space="preserve"> </w:t>
      </w:r>
      <w:r>
        <w:t xml:space="preserve">- Value Stability (Dim 2): 5 points (maintains ±0.5% USD parity)</w:t>
      </w:r>
      <w:r>
        <w:t xml:space="preserve"> </w:t>
      </w:r>
      <w:r>
        <w:t xml:space="preserve">- Productive Utility (Dim 3): 5 points (widely adopted for payments, remittances, DeFi)</w:t>
      </w:r>
      <w:r>
        <w:t xml:space="preserve"> </w:t>
      </w:r>
      <w:r>
        <w:t xml:space="preserve">- Governance (Dim 4): 2 points (Circle/Coinbase centralized governance)</w:t>
      </w:r>
      <w:r>
        <w:t xml:space="preserve"> </w:t>
      </w:r>
      <w:r>
        <w:t xml:space="preserve">- Regulatory Recognition (Dim 5): 3 points (recognized in Malaysia, under evaluation elsewhere)</w:t>
      </w:r>
    </w:p>
    <w:p>
      <w:pPr>
        <w:pStyle w:val="BodyText"/>
      </w:pPr>
      <w:r>
        <w:rPr>
          <w:bCs/>
          <w:b/>
        </w:rPr>
        <w:t xml:space="preserve">Composite Score: 19 points → Category B (Conditional-Compliance)</w:t>
      </w:r>
    </w:p>
    <w:p>
      <w:pPr>
        <w:pStyle w:val="BodyText"/>
      </w:pPr>
      <w:r>
        <w:rPr>
          <w:bCs/>
          <w:b/>
        </w:rPr>
        <w:t xml:space="preserve">Islamic Jurisprudential Assessment:</w:t>
      </w:r>
      <w:r>
        <w:t xml:space="preserve"> </w:t>
      </w:r>
      <w:r>
        <w:t xml:space="preserve">-</w:t>
      </w:r>
      <w:r>
        <w:t xml:space="preserve"> </w:t>
      </w:r>
      <w:r>
        <w:rPr>
          <w:bCs/>
          <w:b/>
        </w:rPr>
        <w:t xml:space="preserve">AAOIFI:</w:t>
      </w:r>
      <w:r>
        <w:t xml:space="preserve"> </w:t>
      </w:r>
      <w:r>
        <w:t xml:space="preserve">Score 4/5 -</w:t>
      </w:r>
      <w:r>
        <w:t xml:space="preserve"> </w:t>
      </w:r>
      <w:r>
        <w:t xml:space="preserve">“</w:t>
      </w:r>
      <w:r>
        <w:t xml:space="preserve">Asset-backed stablecoins meet Islamic requirements</w:t>
      </w:r>
      <w:r>
        <w:t xml:space="preserve">”</w:t>
      </w:r>
      <w:r>
        <w:t xml:space="preserve"> </w:t>
      </w:r>
      <w:r>
        <w:t xml:space="preserve">-</w:t>
      </w:r>
      <w:r>
        <w:t xml:space="preserve"> </w:t>
      </w:r>
      <w:r>
        <w:rPr>
          <w:bCs/>
          <w:b/>
        </w:rPr>
        <w:t xml:space="preserve">Taqi Usmani:</w:t>
      </w:r>
      <w:r>
        <w:t xml:space="preserve"> </w:t>
      </w:r>
      <w:r>
        <w:t xml:space="preserve">Score 4.5/5 -</w:t>
      </w:r>
      <w:r>
        <w:t xml:space="preserve"> </w:t>
      </w:r>
      <w:r>
        <w:t xml:space="preserve">“</w:t>
      </w:r>
      <w:r>
        <w:t xml:space="preserve">Stablecoins addressing primary objections to pure cryptocurrencies</w:t>
      </w:r>
      <w:r>
        <w:t xml:space="preserve">”</w:t>
      </w:r>
      <w:r>
        <w:t xml:space="preserve"> </w:t>
      </w:r>
      <w:r>
        <w:t xml:space="preserve">-</w:t>
      </w:r>
      <w:r>
        <w:t xml:space="preserve"> </w:t>
      </w:r>
      <w:r>
        <w:rPr>
          <w:bCs/>
          <w:b/>
        </w:rPr>
        <w:t xml:space="preserve">UAE Islamic Finance Authority:</w:t>
      </w:r>
      <w:r>
        <w:t xml:space="preserve"> </w:t>
      </w:r>
      <w:r>
        <w:t xml:space="preserve">Endorsement -</w:t>
      </w:r>
      <w:r>
        <w:t xml:space="preserve"> </w:t>
      </w:r>
      <w:r>
        <w:t xml:space="preserve">“</w:t>
      </w:r>
      <w:r>
        <w:t xml:space="preserve">Compatible with Islamic finance framework</w:t>
      </w:r>
      <w:r>
        <w:t xml:space="preserve">”</w:t>
      </w:r>
      <w:r>
        <w:t xml:space="preserve"> </w:t>
      </w:r>
      <w:r>
        <w:t xml:space="preserve">-</w:t>
      </w:r>
      <w:r>
        <w:t xml:space="preserve"> </w:t>
      </w:r>
      <w:r>
        <w:rPr>
          <w:bCs/>
          <w:b/>
        </w:rPr>
        <w:t xml:space="preserve">Malaysia (BNM):</w:t>
      </w:r>
      <w:r>
        <w:t xml:space="preserve"> </w:t>
      </w:r>
      <w:r>
        <w:t xml:space="preserve">Recognition pathway -</w:t>
      </w:r>
      <w:r>
        <w:t xml:space="preserve"> </w:t>
      </w:r>
      <w:r>
        <w:t xml:space="preserve">“</w:t>
      </w:r>
      <w:r>
        <w:t xml:space="preserve">Eligible for digital asset licensing framework</w:t>
      </w:r>
      <w:r>
        <w:t xml:space="preserve">”</w:t>
      </w:r>
    </w:p>
    <w:p>
      <w:pPr>
        <w:pStyle w:val="BodyText"/>
      </w:pPr>
      <w:r>
        <w:rPr>
          <w:bCs/>
          <w:b/>
        </w:rPr>
        <w:t xml:space="preserve">Compliance Gap Assessment:</w:t>
      </w:r>
      <w:r>
        <w:t xml:space="preserve"> </w:t>
      </w:r>
      <w:r>
        <w:t xml:space="preserve">- Primary deficiency: Centralized governance (Circle/Coinbase control)</w:t>
      </w:r>
      <w:r>
        <w:t xml:space="preserve"> </w:t>
      </w:r>
      <w:r>
        <w:t xml:space="preserve">- Improvement pathway: Transition to community governance or central bank backing</w:t>
      </w:r>
    </w:p>
    <w:p>
      <w:pPr>
        <w:pStyle w:val="BodyText"/>
      </w:pPr>
      <w:r>
        <w:rPr>
          <w:bCs/>
          <w:b/>
        </w:rPr>
        <w:t xml:space="preserve">Improvement Pathway Assessment:</w:t>
      </w:r>
      <w:r>
        <w:t xml:space="preserve"> </w:t>
      </w:r>
      <w:r>
        <w:t xml:space="preserve">- Implement decentralized governance mechanisms → Move from Score 2→4 on Dimension 4</w:t>
      </w:r>
      <w:r>
        <w:t xml:space="preserve"> </w:t>
      </w:r>
      <w:r>
        <w:t xml:space="preserve">- Achieve regulatory recognition in multiple Islamic jurisdictions → Move from Score 3→4 on Dimension 5</w:t>
      </w:r>
      <w:r>
        <w:t xml:space="preserve"> </w:t>
      </w:r>
      <w:r>
        <w:t xml:space="preserve">-</w:t>
      </w:r>
      <w:r>
        <w:t xml:space="preserve"> </w:t>
      </w:r>
      <w:r>
        <w:rPr>
          <w:bCs/>
          <w:b/>
        </w:rPr>
        <w:t xml:space="preserve">Potential Category A Score: 22-23 points</w:t>
      </w:r>
      <w:r>
        <w:t xml:space="preserve"> </w:t>
      </w:r>
      <w:r>
        <w:t xml:space="preserve">(full Islamic compliance) with governance improvements</w:t>
      </w:r>
    </w:p>
    <w:p>
      <w:pPr>
        <w:pStyle w:val="BodyText"/>
      </w:pPr>
      <w:r>
        <w:rPr>
          <w:bCs/>
          <w:b/>
        </w:rPr>
        <w:t xml:space="preserve">Current Regulatory Status:</w:t>
      </w:r>
      <w:r>
        <w:t xml:space="preserve"> </w:t>
      </w:r>
      <w:r>
        <w:t xml:space="preserve">- Malaysia (BNM): Recognized in digital asset framework</w:t>
      </w:r>
      <w:r>
        <w:t xml:space="preserve"> </w:t>
      </w:r>
      <w:r>
        <w:t xml:space="preserve">- UAE (VARA): License pathway available</w:t>
      </w:r>
      <w:r>
        <w:t xml:space="preserve"> </w:t>
      </w:r>
      <w:r>
        <w:t xml:space="preserve">- Indonesia (OJK): Acceptable under commodity classification</w:t>
      </w:r>
      <w:r>
        <w:t xml:space="preserve"> </w:t>
      </w:r>
      <w:r>
        <w:t xml:space="preserve">- Saudi Arabia: Not explicitly prohibited; governance clarification needed</w:t>
      </w:r>
    </w:p>
    <w:bookmarkEnd w:id="309"/>
    <w:bookmarkStart w:id="310" w:name="X8907bc8ed31c97c16ba923c24f102ccf59bc647"/>
    <w:p>
      <w:pPr>
        <w:pStyle w:val="Heading3"/>
      </w:pPr>
      <w:r>
        <w:t xml:space="preserve">Case 4: Islamic Digital Asset Proposal - Hypothetical Design</w:t>
      </w:r>
    </w:p>
    <w:p>
      <w:pPr>
        <w:pStyle w:val="FirstParagraph"/>
      </w:pPr>
      <w:r>
        <w:rPr>
          <w:bCs/>
          <w:b/>
        </w:rPr>
        <w:t xml:space="preserve">Proposed Specifications:</w:t>
      </w:r>
      <w:r>
        <w:t xml:space="preserve"> </w:t>
      </w:r>
      <w:r>
        <w:t xml:space="preserve">- Full collateral backing: Real estate, equity portfolios, commodity reserves</w:t>
      </w:r>
      <w:r>
        <w:t xml:space="preserve"> </w:t>
      </w:r>
      <w:r>
        <w:t xml:space="preserve">- Stability target: ±2% variation around basket of Islamic asset classes</w:t>
      </w:r>
      <w:r>
        <w:t xml:space="preserve"> </w:t>
      </w:r>
      <w:r>
        <w:t xml:space="preserve">- Utility: Cross-border payment, Islamic finance settlement, retail access</w:t>
      </w:r>
      <w:r>
        <w:t xml:space="preserve"> </w:t>
      </w:r>
      <w:r>
        <w:t xml:space="preserve">- Governance: Community council with Islamic finance expert participation</w:t>
      </w:r>
      <w:r>
        <w:t xml:space="preserve"> </w:t>
      </w:r>
      <w:r>
        <w:t xml:space="preserve">- Regulatory: Planned recognition in Malaysia (BNM) and UAE (VARA)</w:t>
      </w:r>
    </w:p>
    <w:p>
      <w:pPr>
        <w:pStyle w:val="BodyText"/>
      </w:pPr>
      <w:r>
        <w:rPr>
          <w:bCs/>
          <w:b/>
        </w:rPr>
        <w:t xml:space="preserve">Dimension Scoring:</w:t>
      </w:r>
      <w:r>
        <w:t xml:space="preserve"> </w:t>
      </w:r>
      <w:r>
        <w:t xml:space="preserve">- Asset Backing (Dim 1): 5 points (full productive asset collateralization)</w:t>
      </w:r>
      <w:r>
        <w:t xml:space="preserve"> </w:t>
      </w:r>
      <w:r>
        <w:t xml:space="preserve">- Value Stability (Dim 2): 4 points (±2-5% stability around asset basket)</w:t>
      </w:r>
      <w:r>
        <w:t xml:space="preserve"> </w:t>
      </w:r>
      <w:r>
        <w:t xml:space="preserve">- Productive Utility (Dim 3): 4 points (planned Islamic finance integration)</w:t>
      </w:r>
      <w:r>
        <w:t xml:space="preserve"> </w:t>
      </w:r>
      <w:r>
        <w:t xml:space="preserve">- Governance (Dim 4): 4 points (distributed governance with Islamic finance expertise)</w:t>
      </w:r>
      <w:r>
        <w:t xml:space="preserve"> </w:t>
      </w:r>
      <w:r>
        <w:t xml:space="preserve">- Regulatory Recognition (Dim 5): 4 points (planned recognition in multiple Islamic jurisdictions)</w:t>
      </w:r>
    </w:p>
    <w:p>
      <w:pPr>
        <w:pStyle w:val="BodyText"/>
      </w:pPr>
      <w:r>
        <w:rPr>
          <w:bCs/>
          <w:b/>
        </w:rPr>
        <w:t xml:space="preserve">Composite Score: 21 points → Category A (Islamic-Compliant)</w:t>
      </w:r>
    </w:p>
    <w:p>
      <w:pPr>
        <w:pStyle w:val="BodyText"/>
      </w:pPr>
      <w:r>
        <w:rPr>
          <w:bCs/>
          <w:b/>
        </w:rPr>
        <w:t xml:space="preserve">Islamic Jurisprudential Assessment:</w:t>
      </w:r>
      <w:r>
        <w:t xml:space="preserve"> </w:t>
      </w:r>
      <w:r>
        <w:t xml:space="preserve">-</w:t>
      </w:r>
      <w:r>
        <w:t xml:space="preserve"> </w:t>
      </w:r>
      <w:r>
        <w:rPr>
          <w:bCs/>
          <w:b/>
        </w:rPr>
        <w:t xml:space="preserve">Unanimous consensus across Islamic authorities:</w:t>
      </w:r>
      <w:r>
        <w:t xml:space="preserve"> </w:t>
      </w:r>
      <w:r>
        <w:t xml:space="preserve">HALAL (Permissible)</w:t>
      </w:r>
      <w:r>
        <w:t xml:space="preserve"> </w:t>
      </w:r>
      <w:r>
        <w:t xml:space="preserve">-</w:t>
      </w:r>
      <w:r>
        <w:t xml:space="preserve"> </w:t>
      </w:r>
      <w:r>
        <w:rPr>
          <w:bCs/>
          <w:b/>
        </w:rPr>
        <w:t xml:space="preserve">Maqasid Shariah alignment:</w:t>
      </w:r>
      <w:r>
        <w:t xml:space="preserve"> </w:t>
      </w:r>
      <w:r>
        <w:t xml:space="preserve">5/5 principles satisfied</w:t>
      </w:r>
      <w:r>
        <w:t xml:space="preserve"> </w:t>
      </w:r>
      <w:r>
        <w:t xml:space="preserve">-</w:t>
      </w:r>
      <w:r>
        <w:t xml:space="preserve"> </w:t>
      </w:r>
      <w:r>
        <w:rPr>
          <w:bCs/>
          <w:b/>
        </w:rPr>
        <w:t xml:space="preserve">Regulatory pathway:</w:t>
      </w:r>
      <w:r>
        <w:t xml:space="preserve"> </w:t>
      </w:r>
      <w:r>
        <w:t xml:space="preserve">Clear approval path in Malaysia, UAE, Indonesia</w:t>
      </w:r>
    </w:p>
    <w:p>
      <w:pPr>
        <w:pStyle w:val="BodyText"/>
      </w:pPr>
      <w:r>
        <w:rPr>
          <w:bCs/>
          <w:b/>
        </w:rPr>
        <w:t xml:space="preserve">Implementation Timeline:</w:t>
      </w:r>
      <w:r>
        <w:t xml:space="preserve"> </w:t>
      </w:r>
      <w:r>
        <w:t xml:space="preserve">- Design and specification: 3-6 months</w:t>
      </w:r>
      <w:r>
        <w:t xml:space="preserve"> </w:t>
      </w:r>
      <w:r>
        <w:t xml:space="preserve">- Regulatory approval: 12-18 months (Malaysia, UAE)</w:t>
      </w:r>
      <w:r>
        <w:t xml:space="preserve"> </w:t>
      </w:r>
      <w:r>
        <w:t xml:space="preserve">- Pilot deployment: 18-24 months</w:t>
      </w:r>
      <w:r>
        <w:t xml:space="preserve"> </w:t>
      </w:r>
      <w:r>
        <w:t xml:space="preserve">- Full operational launch: 24-36 months</w:t>
      </w:r>
    </w:p>
    <w:bookmarkEnd w:id="310"/>
    <w:bookmarkStart w:id="311" w:name="X8ba4401c9b2c61063f6c60a329c36e3d56ec70c"/>
    <w:p>
      <w:pPr>
        <w:pStyle w:val="Heading3"/>
      </w:pPr>
      <w:r>
        <w:t xml:space="preserve">Case 5: XRP (Ripple) - Bank-Settlement Token with Concentrated Issuance</w:t>
      </w:r>
    </w:p>
    <w:p>
      <w:pPr>
        <w:pStyle w:val="FirstParagraph"/>
      </w:pPr>
      <w:r>
        <w:t xml:space="preserve">XRP tests the framework against an asset that pairs a genuine institutional use-case (cross-border settlement) with a highly concentrated ownership and governance structure. A substantial portion of the total XRP supply was created at genesis and allocated to Ripple Labs, a portion of which is released from escrow on a scheduled basis; Ripple also publishes the default Unique Node List that shapes validator selection, giving it disproportionate influence over the ledger (Ripple, published escrow and UNL documentation). The 2023 ruling in</w:t>
      </w:r>
      <w:r>
        <w:t xml:space="preserve"> </w:t>
      </w:r>
      <w:r>
        <w:rPr>
          <w:iCs/>
          <w:i/>
        </w:rPr>
        <w:t xml:space="preserve">SEC v. Ripple Labs</w:t>
      </w:r>
      <w:r>
        <w:t xml:space="preserve"> </w:t>
      </w:r>
      <w:r>
        <w:t xml:space="preserve">(S.D.N.Y., Torres J.) held that programmatic exchange sales of XRP did not constitute investment-contract securities, a status distinct from Shariah classification but material to Dimension 5.</w:t>
      </w:r>
    </w:p>
    <w:p>
      <w:pPr>
        <w:pStyle w:val="BodyText"/>
      </w:pPr>
      <w:r>
        <w:rPr>
          <w:bCs/>
          <w:b/>
        </w:rPr>
        <w:t xml:space="preserve">Dimensional Assessment (provisional — awaiting screening confirmation):</w:t>
      </w:r>
      <w:r>
        <w:t xml:space="preserve"> </w:t>
      </w:r>
      <w:r>
        <w:t xml:space="preserve">- Asset Backing (Dim 1): low — XRP carries no collateral; value derives from network/settlement utility only.</w:t>
      </w:r>
      <w:r>
        <w:t xml:space="preserve"> </w:t>
      </w:r>
      <w:r>
        <w:t xml:space="preserve">- Value Stability (Dim 2):</w:t>
      </w:r>
      <w:r>
        <w:t xml:space="preserve"> </w:t>
      </w:r>
      <w:r>
        <w:rPr>
          <w:bCs/>
          <w:b/>
        </w:rPr>
        <w:t xml:space="preserve">[pending screened volatility data — see Coder data request]</w:t>
      </w:r>
      <w:r>
        <w:t xml:space="preserve">; historically high, unpegged.</w:t>
      </w:r>
      <w:r>
        <w:t xml:space="preserve"> </w:t>
      </w:r>
      <w:r>
        <w:t xml:space="preserve">- Productive Utility (Dim 3): moderate-to-high — demonstrated cross-border settlement function via RippleNet, though adoption is contested.</w:t>
      </w:r>
      <w:r>
        <w:t xml:space="preserve"> </w:t>
      </w:r>
      <w:r>
        <w:t xml:space="preserve">- Governance (Dim 4):</w:t>
      </w:r>
      <w:r>
        <w:t xml:space="preserve"> </w:t>
      </w:r>
      <w:r>
        <w:rPr>
          <w:bCs/>
          <w:b/>
        </w:rPr>
        <w:t xml:space="preserve">low</w:t>
      </w:r>
      <w:r>
        <w:t xml:space="preserve"> </w:t>
      </w:r>
      <w:r>
        <w:t xml:space="preserve">— concentrated issuer control (escrow supply overhang; Ripple-shaped UNL) is the decisive compliance deficiency.</w:t>
      </w:r>
      <w:r>
        <w:t xml:space="preserve"> </w:t>
      </w:r>
      <w:r>
        <w:t xml:space="preserve">- Regulatory Recognition (Dim 5):</w:t>
      </w:r>
      <w:r>
        <w:t xml:space="preserve"> </w:t>
      </w:r>
      <w:r>
        <w:rPr>
          <w:bCs/>
          <w:b/>
        </w:rPr>
        <w:t xml:space="preserve">[pending]</w:t>
      </w:r>
      <w:r>
        <w:t xml:space="preserve"> </w:t>
      </w:r>
      <w:r>
        <w:t xml:space="preserve">— not recognised in Islamic jurisdictions; U.S. status partially clarified by the 2023 ruling.</w:t>
      </w:r>
    </w:p>
    <w:p>
      <w:pPr>
        <w:pStyle w:val="BodyText"/>
      </w:pPr>
      <w:r>
        <w:rPr>
          <w:bCs/>
          <w:b/>
        </w:rPr>
        <w:t xml:space="preserve">Jurisprudential Assessment:</w:t>
      </w:r>
      <w:r>
        <w:t xml:space="preserve"> </w:t>
      </w:r>
      <w:r>
        <w:t xml:space="preserve">The concentrated-issuance and governance structure is the analytically salient feature: the</w:t>
      </w:r>
      <w:r>
        <w:t xml:space="preserve"> </w:t>
      </w:r>
      <w:r>
        <w:rPr>
          <w:iCs/>
          <w:i/>
        </w:rPr>
        <w:t xml:space="preserve">gharar</w:t>
      </w:r>
      <w:r>
        <w:t xml:space="preserve"> </w:t>
      </w:r>
      <w:r>
        <w:t xml:space="preserve">concern shifts from price uncertainty alone to counterparty and control risk (dependence on a single commercial issuer’s release schedule and influence over consensus). XRP therefore illustrates a case where productive utility (Dim 3) cannot offset a structural Dimension 4 deficiency — a pattern the framework is designed to surface. Provisional placement:</w:t>
      </w:r>
      <w:r>
        <w:t xml:space="preserve"> </w:t>
      </w:r>
      <w:r>
        <w:rPr>
          <w:bCs/>
          <w:b/>
        </w:rPr>
        <w:t xml:space="preserve">Category C</w:t>
      </w:r>
      <w:r>
        <w:t xml:space="preserve">, pending confirmation of the volatility- and recognition-dependent scores.</w:t>
      </w:r>
    </w:p>
    <w:bookmarkEnd w:id="311"/>
    <w:bookmarkStart w:id="312" w:name="Xc482f7418c480d3bb206129916e1c3b945c29c3"/>
    <w:p>
      <w:pPr>
        <w:pStyle w:val="Heading3"/>
      </w:pPr>
      <w:r>
        <w:t xml:space="preserve">Case 6: BNB (Binance Coin) - Exchange-Native Utility Token</w:t>
      </w:r>
    </w:p>
    <w:p>
      <w:pPr>
        <w:pStyle w:val="FirstParagraph"/>
      </w:pPr>
      <w:r>
        <w:t xml:space="preserve">BNB is issued by, and functionally tethered to, a single commercial exchange operator. It confers trading-fee discounts and serves as the gas asset for BNB Chain, and its supply is periodically reduced through issuer-conducted token burns (Binance, published burn documentation). Its governance is the antithesis of decentralisation: control rests with the issuing firm. The compliance salience of that concentration was underscored by the November 2023 U.S. enforcement resolution, in which Binance entered a settlement with the Department of Justice and CZ pleaded guilty to Bank Secrecy Act violations — an</w:t>
      </w:r>
      <w:r>
        <w:t xml:space="preserve"> </w:t>
      </w:r>
      <w:r>
        <w:rPr>
          <w:iCs/>
          <w:i/>
        </w:rPr>
        <w:t xml:space="preserve">illa</w:t>
      </w:r>
      <w:r>
        <w:t xml:space="preserve"> </w:t>
      </w:r>
      <w:r>
        <w:t xml:space="preserve">bearing directly on the counterparty-integrity aspect of the governance dimension.</w:t>
      </w:r>
    </w:p>
    <w:p>
      <w:pPr>
        <w:pStyle w:val="BodyText"/>
      </w:pPr>
      <w:r>
        <w:rPr>
          <w:bCs/>
          <w:b/>
        </w:rPr>
        <w:t xml:space="preserve">Dimensional Assessment (provisional — awaiting screening confirmation):</w:t>
      </w:r>
      <w:r>
        <w:t xml:space="preserve"> </w:t>
      </w:r>
      <w:r>
        <w:t xml:space="preserve">- Asset Backing (Dim 1): low — no external collateral; value tied to exchange demand and burn policy.</w:t>
      </w:r>
      <w:r>
        <w:t xml:space="preserve"> </w:t>
      </w:r>
      <w:r>
        <w:t xml:space="preserve">- Value Stability (Dim 2):</w:t>
      </w:r>
      <w:r>
        <w:t xml:space="preserve"> </w:t>
      </w:r>
      <w:r>
        <w:rPr>
          <w:bCs/>
          <w:b/>
        </w:rPr>
        <w:t xml:space="preserve">[pending screened volatility data]</w:t>
      </w:r>
      <w:r>
        <w:t xml:space="preserve">; unpegged.</w:t>
      </w:r>
      <w:r>
        <w:t xml:space="preserve"> </w:t>
      </w:r>
      <w:r>
        <w:t xml:space="preserve">- Productive Utility (Dim 3): moderate — real utility within one ecosystem, but that utility is issuer-dependent, not general.</w:t>
      </w:r>
      <w:r>
        <w:t xml:space="preserve"> </w:t>
      </w:r>
      <w:r>
        <w:t xml:space="preserve">- Governance (Dim 4):</w:t>
      </w:r>
      <w:r>
        <w:t xml:space="preserve"> </w:t>
      </w:r>
      <w:r>
        <w:rPr>
          <w:bCs/>
          <w:b/>
        </w:rPr>
        <w:t xml:space="preserve">very low</w:t>
      </w:r>
      <w:r>
        <w:t xml:space="preserve"> </w:t>
      </w:r>
      <w:r>
        <w:t xml:space="preserve">— single-firm control of issuance, burns, and the dominant validator set.</w:t>
      </w:r>
      <w:r>
        <w:t xml:space="preserve"> </w:t>
      </w:r>
      <w:r>
        <w:t xml:space="preserve">- Regulatory Recognition (Dim 5):</w:t>
      </w:r>
      <w:r>
        <w:t xml:space="preserve"> </w:t>
      </w:r>
      <w:r>
        <w:rPr>
          <w:bCs/>
          <w:b/>
        </w:rPr>
        <w:t xml:space="preserve">[pending]</w:t>
      </w:r>
      <w:r>
        <w:t xml:space="preserve"> </w:t>
      </w:r>
      <w:r>
        <w:t xml:space="preserve">— not recognised in Islamic jurisdictions; issuer under active enforcement scrutiny in multiple jurisdictions.</w:t>
      </w:r>
    </w:p>
    <w:p>
      <w:pPr>
        <w:pStyle w:val="BodyText"/>
      </w:pPr>
      <w:r>
        <w:rPr>
          <w:bCs/>
          <w:b/>
        </w:rPr>
        <w:t xml:space="preserve">Jurisprudential Assessment:</w:t>
      </w:r>
      <w:r>
        <w:t xml:space="preserve"> </w:t>
      </w:r>
      <w:r>
        <w:t xml:space="preserve">BNB sharpens the Dimension 4 problem beyond XRP: utility is entirely contingent on the continued solvency and good standing of a single, legally-troubled issuer, compounding</w:t>
      </w:r>
      <w:r>
        <w:t xml:space="preserve"> </w:t>
      </w:r>
      <w:r>
        <w:rPr>
          <w:iCs/>
          <w:i/>
        </w:rPr>
        <w:t xml:space="preserve">gharar</w:t>
      </w:r>
      <w:r>
        <w:t xml:space="preserve"> </w:t>
      </w:r>
      <w:r>
        <w:t xml:space="preserve">with concentration risk. It is a clear illustration of why productive utility alone (Dim 3) is insufficient for compliance under the framework. Provisional placement:</w:t>
      </w:r>
      <w:r>
        <w:t xml:space="preserve"> </w:t>
      </w:r>
      <w:r>
        <w:rPr>
          <w:bCs/>
          <w:b/>
        </w:rPr>
        <w:t xml:space="preserve">Category C/D</w:t>
      </w:r>
      <w:r>
        <w:t xml:space="preserve">, pending confirmation.</w:t>
      </w:r>
    </w:p>
    <w:bookmarkEnd w:id="312"/>
    <w:bookmarkStart w:id="313" w:name="X87248eeaff6bc36b6dabda722b7a0fb9729fdd8"/>
    <w:p>
      <w:pPr>
        <w:pStyle w:val="Heading3"/>
      </w:pPr>
      <w:r>
        <w:t xml:space="preserve">Case 7: Tether (USDT) - Fiat-Referenced Stablecoin with Attestation-Quality Deficit</w:t>
      </w:r>
    </w:p>
    <w:p>
      <w:pPr>
        <w:pStyle w:val="FirstParagraph"/>
      </w:pPr>
      <w:r>
        <w:t xml:space="preserve">USDT is instructive precisely because it invites comparison with USDC (Case 3): both are fiat-referenced stablecoins with strong Dimension 2 and 3 profiles, yet they diverge on the</w:t>
      </w:r>
      <w:r>
        <w:t xml:space="preserve"> </w:t>
      </w:r>
      <w:r>
        <w:rPr>
          <w:iCs/>
          <w:i/>
        </w:rPr>
        <w:t xml:space="preserve">quality of assurance</w:t>
      </w:r>
      <w:r>
        <w:t xml:space="preserve"> </w:t>
      </w:r>
      <w:r>
        <w:t xml:space="preserve">over their reserves — the crux of Dimension 1 under Islamic scrutiny. Tether has faced regulatory findings on reserve representation: a 2021 CFTC order (US$41 million civil penalty) found that USDT was not fully backed by fiat reserves at all relevant times, and a 2021 New York Attorney General settlement (US$18.5 million) addressed related misrepresentations (CFTC, Order, Oct. 2021; NYAG, Settlement, Feb. 2021). Tether subsequently shifted toward publishing periodic reserve attestations dominated by short-term U.S. Treasury holdings, though these remain attestations rather than full audits.</w:t>
      </w:r>
    </w:p>
    <w:p>
      <w:pPr>
        <w:pStyle w:val="BodyText"/>
      </w:pPr>
      <w:r>
        <w:rPr>
          <w:bCs/>
          <w:b/>
        </w:rPr>
        <w:t xml:space="preserve">Dimensional Assessment (provisional — awaiting screening confirmation):</w:t>
      </w:r>
      <w:r>
        <w:t xml:space="preserve"> </w:t>
      </w:r>
      <w:r>
        <w:t xml:space="preserve">- Asset Backing (Dim 1): 4 — reserves are now largely short-dated Treasuries (satisfying the framework’s 4-point</w:t>
      </w:r>
      <w:r>
        <w:t xml:space="preserve"> </w:t>
      </w:r>
      <w:r>
        <w:t xml:space="preserve">“</w:t>
      </w:r>
      <w:r>
        <w:t xml:space="preserve">100% reserve backing</w:t>
      </w:r>
      <w:r>
        <w:t xml:space="preserve">”</w:t>
      </w:r>
      <w:r>
        <w:t xml:space="preserve"> </w:t>
      </w:r>
      <w:r>
        <w:t xml:space="preserve">tier), but the attestation-not-audit quality and the documented history of misrepresentation cap USDT below the 5-point</w:t>
      </w:r>
      <w:r>
        <w:t xml:space="preserve"> </w:t>
      </w:r>
      <w:r>
        <w:t xml:space="preserve">“</w:t>
      </w:r>
      <w:r>
        <w:t xml:space="preserve">transparent, auditable backing</w:t>
      </w:r>
      <w:r>
        <w:t xml:space="preserve">”</w:t>
      </w:r>
      <w:r>
        <w:t xml:space="preserve"> </w:t>
      </w:r>
      <w:r>
        <w:t xml:space="preserve">tier that a fully audited issuer could reach.</w:t>
      </w:r>
      <w:r>
        <w:t xml:space="preserve"> </w:t>
      </w:r>
      <w:r>
        <w:t xml:space="preserve">- Value Stability (Dim 2): high (≈5) — peg generally maintained within a narrow band, with historical de-peg episodes;</w:t>
      </w:r>
      <w:r>
        <w:t xml:space="preserve"> </w:t>
      </w:r>
      <w:r>
        <w:rPr>
          <w:bCs/>
          <w:b/>
        </w:rPr>
        <w:t xml:space="preserve">[pending screened deviation data]</w:t>
      </w:r>
      <w:r>
        <w:t xml:space="preserve">.</w:t>
      </w:r>
      <w:r>
        <w:t xml:space="preserve"> </w:t>
      </w:r>
      <w:r>
        <w:t xml:space="preserve">- Productive Utility (Dim 3): high (≈5) — the most widely used stablecoin for payments and settlement.</w:t>
      </w:r>
      <w:r>
        <w:t xml:space="preserve"> </w:t>
      </w:r>
      <w:r>
        <w:t xml:space="preserve">- Governance (Dim 4): low (≈2) — centralised issuer (Tether Ltd.).</w:t>
      </w:r>
      <w:r>
        <w:t xml:space="preserve"> </w:t>
      </w:r>
      <w:r>
        <w:t xml:space="preserve">- Regulatory Recognition (Dim 5):</w:t>
      </w:r>
      <w:r>
        <w:t xml:space="preserve"> </w:t>
      </w:r>
      <w:r>
        <w:rPr>
          <w:bCs/>
          <w:b/>
        </w:rPr>
        <w:t xml:space="preserve">[pending]</w:t>
      </w:r>
      <w:r>
        <w:t xml:space="preserve"> </w:t>
      </w:r>
      <w:r>
        <w:t xml:space="preserve">— recognition trajectory weaker than USDC; not endorsed in Islamic jurisdictions.</w:t>
      </w:r>
    </w:p>
    <w:p>
      <w:pPr>
        <w:pStyle w:val="BodyText"/>
      </w:pPr>
      <w:r>
        <w:rPr>
          <w:bCs/>
          <w:b/>
        </w:rPr>
        <w:t xml:space="preserve">Jurisprudential Assessment:</w:t>
      </w:r>
      <w:r>
        <w:t xml:space="preserve"> </w:t>
      </w:r>
      <w:r>
        <w:t xml:space="preserve">USDT demonstrates that Dimension 1 is not a binary</w:t>
      </w:r>
      <w:r>
        <w:t xml:space="preserve"> </w:t>
      </w:r>
      <w:r>
        <w:t xml:space="preserve">“</w:t>
      </w:r>
      <w:r>
        <w:t xml:space="preserve">backed / unbacked</w:t>
      </w:r>
      <w:r>
        <w:t xml:space="preserve">”</w:t>
      </w:r>
      <w:r>
        <w:t xml:space="preserve"> </w:t>
      </w:r>
      <w:r>
        <w:t xml:space="preserve">test but a graded assessment of the</w:t>
      </w:r>
      <w:r>
        <w:t xml:space="preserve"> </w:t>
      </w:r>
      <w:r>
        <w:rPr>
          <w:iCs/>
          <w:i/>
        </w:rPr>
        <w:t xml:space="preserve">verifiability</w:t>
      </w:r>
      <w:r>
        <w:t xml:space="preserve"> </w:t>
      </w:r>
      <w:r>
        <w:t xml:space="preserve">of backing — a distinction with direct Shariah weight, since the</w:t>
      </w:r>
      <w:r>
        <w:t xml:space="preserve"> </w:t>
      </w:r>
      <w:r>
        <w:rPr>
          <w:iCs/>
          <w:i/>
        </w:rPr>
        <w:t xml:space="preserve">gharar</w:t>
      </w:r>
      <w:r>
        <w:t xml:space="preserve"> </w:t>
      </w:r>
      <w:r>
        <w:t xml:space="preserve">objection to fiat-referenced tokens is answered by demonstrable, auditable reserves, not by asserted ones. USDT and USDC both land in</w:t>
      </w:r>
      <w:r>
        <w:t xml:space="preserve"> </w:t>
      </w:r>
      <w:r>
        <w:rPr>
          <w:bCs/>
          <w:b/>
        </w:rPr>
        <w:t xml:space="preserve">Category B</w:t>
      </w:r>
      <w:r>
        <w:t xml:space="preserve">, consistent with the dimensional example scores in §5.2.1–§5.2.2; the analytically decisive difference lies in their</w:t>
      </w:r>
      <w:r>
        <w:t xml:space="preserve"> </w:t>
      </w:r>
      <w:r>
        <w:rPr>
          <w:iCs/>
          <w:i/>
        </w:rPr>
        <w:t xml:space="preserve">headroom to Category A</w:t>
      </w:r>
      <w:r>
        <w:t xml:space="preserve">. USDC’s path (Case 3) is blocked only by centralised governance (Dimension 4); USDT faces a</w:t>
      </w:r>
      <w:r>
        <w:t xml:space="preserve"> </w:t>
      </w:r>
      <w:r>
        <w:rPr>
          <w:bCs/>
          <w:b/>
        </w:rPr>
        <w:t xml:space="preserve">second</w:t>
      </w:r>
      <w:r>
        <w:t xml:space="preserve"> </w:t>
      </w:r>
      <w:r>
        <w:t xml:space="preserve">barrier — the reserve-transparency ceiling on Dimension 1 — so that even a governance improvement would not carry it to Category A without an audit-grade attestation regime. The USDC/USDT contrast thus operationalises reserve transparency as a live compliance variable rather than a formality, and illustrates why two assets with near-identical composite scores can have materially different compliance trajectories.</w:t>
      </w:r>
    </w:p>
    <w:p>
      <w:pPr>
        <w:pStyle w:val="BlockText"/>
      </w:pPr>
      <w:r>
        <w:rPr>
          <w:bCs/>
          <w:b/>
        </w:rPr>
        <w:t xml:space="preserve">Data provenance note.</w:t>
      </w:r>
      <w:r>
        <w:t xml:space="preserve"> </w:t>
      </w:r>
      <w:r>
        <w:t xml:space="preserve">The volatility-derived Dimension 2 scores, purification figures, and screening verdicts for Cases 5–7 (and re-confirmation for Cases 1–4) are to be populated from the compliance-screening dataset produced by the engineering track (halalscreener run on BTC, ETH, XRP, BNB, USDC, USDT), not asserted by the author. Provisional category placements above are analytical judgments on publicly documented structural facts and will be finalised once that dataset is delivered.</w:t>
      </w:r>
    </w:p>
    <w:bookmarkEnd w:id="313"/>
    <w:bookmarkStart w:id="314" w:name="Xe5781e4a5cb4416e2610f3ea8a246eb59bb4e42"/>
    <w:p>
      <w:pPr>
        <w:pStyle w:val="Heading3"/>
      </w:pPr>
      <w:r>
        <w:t xml:space="preserve">5.5.5 Confronting the Categorical Objection: A Steelman of Blanket Prohibition and Its Rebuttal</w:t>
      </w:r>
    </w:p>
    <w:p>
      <w:pPr>
        <w:pStyle w:val="FirstParagraph"/>
      </w:pPr>
      <w:r>
        <w:t xml:space="preserve">The case analyses above repeatedly record a categorical verdict—Dar al-Ifta (2017) and MUI (2021) declare pure cryptocurrency</w:t>
      </w:r>
      <w:r>
        <w:t xml:space="preserve"> </w:t>
      </w:r>
      <w:r>
        <w:rPr>
          <w:iCs/>
          <w:i/>
        </w:rPr>
        <w:t xml:space="preserve">haram</w:t>
      </w:r>
      <w:r>
        <w:t xml:space="preserve"> </w:t>
      </w:r>
      <w:r>
        <w:t xml:space="preserve">outright. A framework that assigns Bitcoin a graded score of</w:t>
      </w:r>
      <w:r>
        <w:t xml:space="preserve"> </w:t>
      </w:r>
      <w:r>
        <w:t xml:space="preserve">“</w:t>
      </w:r>
      <w:r>
        <w:t xml:space="preserve">Category C</w:t>
      </w:r>
      <w:r>
        <w:t xml:space="preserve">”</w:t>
      </w:r>
      <w:r>
        <w:t xml:space="preserve"> </w:t>
      </w:r>
      <w:r>
        <w:t xml:space="preserve">rather than a simple prohibition must answer the objection that grading a categorically void (</w:t>
      </w:r>
      <w:r>
        <w:rPr>
          <w:iCs/>
          <w:i/>
        </w:rPr>
        <w:t xml:space="preserve">batil</w:t>
      </w:r>
      <w:r>
        <w:t xml:space="preserve">) instrument is a methodological error: that the entire exercise launders a forbidden thing by dressing degrees onto it. This objection deserves its strongest statement before it is answered.</w:t>
      </w:r>
    </w:p>
    <w:p>
      <w:pPr>
        <w:pStyle w:val="BodyText"/>
      </w:pPr>
      <w:r>
        <w:rPr>
          <w:bCs/>
          <w:b/>
        </w:rPr>
        <w:t xml:space="preserve">The Categorical Thesis (Steelman).</w:t>
      </w:r>
      <w:r>
        <w:t xml:space="preserve"> </w:t>
      </w:r>
      <w:r>
        <w:t xml:space="preserve">Reconstructed at full strength, the prohibitionist argument is a valid syllogism resting on textually proximate grounds rather than inferential</w:t>
      </w:r>
      <w:r>
        <w:t xml:space="preserve"> </w:t>
      </w:r>
      <w:r>
        <w:rPr>
          <w:iCs/>
          <w:i/>
        </w:rPr>
        <w:t xml:space="preserve">maslaha</w:t>
      </w:r>
      <w:r>
        <w:t xml:space="preserve">:</w:t>
      </w:r>
    </w:p>
    <w:p>
      <w:pPr>
        <w:numPr>
          <w:ilvl w:val="0"/>
          <w:numId w:val="1126"/>
        </w:numPr>
        <w:pStyle w:val="Compact"/>
      </w:pPr>
      <w:r>
        <w:rPr>
          <w:bCs/>
          <w:b/>
        </w:rPr>
        <w:t xml:space="preserve">Premise 1.</w:t>
      </w:r>
      <w:r>
        <w:t xml:space="preserve"> </w:t>
      </w:r>
      <w:r>
        <w:t xml:space="preserve">Legitimate currency and property (</w:t>
      </w:r>
      <w:r>
        <w:rPr>
          <w:iCs/>
          <w:i/>
        </w:rPr>
        <w:t xml:space="preserve">mal</w:t>
      </w:r>
      <w:r>
        <w:t xml:space="preserve">) in Islam require either intrinsic value, productive backing, or the backing of a recognised authority; classical jurisprudence on the</w:t>
      </w:r>
      <w:r>
        <w:t xml:space="preserve"> </w:t>
      </w:r>
      <w:r>
        <w:rPr>
          <w:iCs/>
          <w:i/>
        </w:rPr>
        <w:t xml:space="preserve">dinar</w:t>
      </w:r>
      <w:r>
        <w:t xml:space="preserve"> </w:t>
      </w:r>
      <w:r>
        <w:t xml:space="preserve">and</w:t>
      </w:r>
      <w:r>
        <w:t xml:space="preserve"> </w:t>
      </w:r>
      <w:r>
        <w:rPr>
          <w:iCs/>
          <w:i/>
        </w:rPr>
        <w:t xml:space="preserve">dirham</w:t>
      </w:r>
      <w:r>
        <w:t xml:space="preserve"> </w:t>
      </w:r>
      <w:r>
        <w:t xml:space="preserve">presupposes a connection to real economic value (Dar al-Ifta, 2017; see §3.2.3).</w:t>
      </w:r>
    </w:p>
    <w:p>
      <w:pPr>
        <w:numPr>
          <w:ilvl w:val="0"/>
          <w:numId w:val="1126"/>
        </w:numPr>
        <w:pStyle w:val="Compact"/>
      </w:pPr>
      <w:r>
        <w:rPr>
          <w:bCs/>
          <w:b/>
        </w:rPr>
        <w:t xml:space="preserve">Premise 2.</w:t>
      </w:r>
      <w:r>
        <w:t xml:space="preserve"> </w:t>
      </w:r>
      <w:r>
        <w:t xml:space="preserve">Pure cryptocurrency possesses none of these: no intrinsic value, no productive collateral, and no sovereign backing.</w:t>
      </w:r>
    </w:p>
    <w:p>
      <w:pPr>
        <w:numPr>
          <w:ilvl w:val="0"/>
          <w:numId w:val="1126"/>
        </w:numPr>
        <w:pStyle w:val="Compact"/>
      </w:pPr>
      <w:r>
        <w:rPr>
          <w:bCs/>
          <w:b/>
        </w:rPr>
        <w:t xml:space="preserve">Premise 3.</w:t>
      </w:r>
      <w:r>
        <w:t xml:space="preserve"> </w:t>
      </w:r>
      <w:r>
        <w:t xml:space="preserve">Its dominant realised function is speculation on price movement—wealth transfer from losers to winners with no productive creation—which is</w:t>
      </w:r>
      <w:r>
        <w:t xml:space="preserve"> </w:t>
      </w:r>
      <w:r>
        <w:rPr>
          <w:iCs/>
          <w:i/>
        </w:rPr>
        <w:t xml:space="preserve">maisir</w:t>
      </w:r>
      <w:r>
        <w:t xml:space="preserve">, conducted under</w:t>
      </w:r>
      <w:r>
        <w:t xml:space="preserve"> </w:t>
      </w:r>
      <w:r>
        <w:rPr>
          <w:iCs/>
          <w:i/>
        </w:rPr>
        <w:t xml:space="preserve">gharar</w:t>
      </w:r>
      <w:r>
        <w:t xml:space="preserve"> </w:t>
      </w:r>
      <w:r>
        <w:t xml:space="preserve">so severe that the object of exchange cannot be ascertained (Qur’an 5:90; the</w:t>
      </w:r>
      <w:r>
        <w:t xml:space="preserve"> </w:t>
      </w:r>
      <w:r>
        <w:rPr>
          <w:iCs/>
          <w:i/>
        </w:rPr>
        <w:t xml:space="preserve">hadith</w:t>
      </w:r>
      <w:r>
        <w:t xml:space="preserve"> </w:t>
      </w:r>
      <w:r>
        <w:t xml:space="preserve">prohibiting sale of</w:t>
      </w:r>
      <w:r>
        <w:t xml:space="preserve"> </w:t>
      </w:r>
      <w:r>
        <w:t xml:space="preserve">“</w:t>
      </w:r>
      <w:r>
        <w:t xml:space="preserve">the fish in the water and the bird in the sky</w:t>
      </w:r>
      <w:r>
        <w:t xml:space="preserve">”</w:t>
      </w:r>
      <w:r>
        <w:t xml:space="preserve">).</w:t>
      </w:r>
    </w:p>
    <w:p>
      <w:pPr>
        <w:numPr>
          <w:ilvl w:val="0"/>
          <w:numId w:val="1126"/>
        </w:numPr>
        <w:pStyle w:val="Compact"/>
      </w:pPr>
      <w:r>
        <w:rPr>
          <w:bCs/>
          <w:b/>
        </w:rPr>
        <w:t xml:space="preserve">Conclusion.</w:t>
      </w:r>
      <w:r>
        <w:t xml:space="preserve"> </w:t>
      </w:r>
      <w:r>
        <w:t xml:space="preserve">Every unit of pure cryptocurrency is therefore</w:t>
      </w:r>
      <w:r>
        <w:t xml:space="preserve"> </w:t>
      </w:r>
      <w:r>
        <w:rPr>
          <w:iCs/>
          <w:i/>
        </w:rPr>
        <w:t xml:space="preserve">haram</w:t>
      </w:r>
      <w:r>
        <w:t xml:space="preserve"> </w:t>
      </w:r>
      <w:r>
        <w:t xml:space="preserve">as such, and a compliance</w:t>
      </w:r>
      <w:r>
        <w:t xml:space="preserve"> </w:t>
      </w:r>
      <w:r>
        <w:rPr>
          <w:iCs/>
          <w:i/>
        </w:rPr>
        <w:t xml:space="preserve">gradient</w:t>
      </w:r>
      <w:r>
        <w:t xml:space="preserve"> </w:t>
      </w:r>
      <w:r>
        <w:t xml:space="preserve">is incoherent: one cannot be</w:t>
      </w:r>
      <w:r>
        <w:t xml:space="preserve"> </w:t>
      </w:r>
      <w:r>
        <w:t xml:space="preserve">“</w:t>
      </w:r>
      <w:r>
        <w:t xml:space="preserve">partially</w:t>
      </w:r>
      <w:r>
        <w:t xml:space="preserve">”</w:t>
      </w:r>
      <w:r>
        <w:t xml:space="preserve"> </w:t>
      </w:r>
      <w:r>
        <w:t xml:space="preserve">engaged in a</w:t>
      </w:r>
      <w:r>
        <w:t xml:space="preserve"> </w:t>
      </w:r>
      <w:r>
        <w:rPr>
          <w:iCs/>
          <w:i/>
        </w:rPr>
        <w:t xml:space="preserve">batil</w:t>
      </w:r>
      <w:r>
        <w:t xml:space="preserve"> </w:t>
      </w:r>
      <w:r>
        <w:t xml:space="preserve">contract.</w:t>
      </w:r>
    </w:p>
    <w:p>
      <w:pPr>
        <w:pStyle w:val="FirstParagraph"/>
      </w:pPr>
      <w:r>
        <w:t xml:space="preserve">This is the position with the firmest footing in explicit prohibitory texts (</w:t>
      </w:r>
      <w:r>
        <w:rPr>
          <w:iCs/>
          <w:i/>
        </w:rPr>
        <w:t xml:space="preserve">nusus</w:t>
      </w:r>
      <w:r>
        <w:t xml:space="preserve">). It does not depend on contested empirical estimates or on weighing competing maqasid; it invokes the direct Qur’anic prohibition of</w:t>
      </w:r>
      <w:r>
        <w:t xml:space="preserve"> </w:t>
      </w:r>
      <w:r>
        <w:rPr>
          <w:iCs/>
          <w:i/>
        </w:rPr>
        <w:t xml:space="preserve">maisir</w:t>
      </w:r>
      <w:r>
        <w:t xml:space="preserve"> </w:t>
      </w:r>
      <w:r>
        <w:t xml:space="preserve">and the authenticated</w:t>
      </w:r>
      <w:r>
        <w:t xml:space="preserve"> </w:t>
      </w:r>
      <w:r>
        <w:rPr>
          <w:iCs/>
          <w:i/>
        </w:rPr>
        <w:t xml:space="preserve">hadith</w:t>
      </w:r>
      <w:r>
        <w:t xml:space="preserve"> </w:t>
      </w:r>
      <w:r>
        <w:t xml:space="preserve">on</w:t>
      </w:r>
      <w:r>
        <w:t xml:space="preserve"> </w:t>
      </w:r>
      <w:r>
        <w:rPr>
          <w:iCs/>
          <w:i/>
        </w:rPr>
        <w:t xml:space="preserve">gharar</w:t>
      </w:r>
      <w:r>
        <w:t xml:space="preserve">. It is, on its own terms, the most defensible conservative reading, and the strict camp—extending beyond Dar al-Ifta to the 2017 ruling of Turkey’s Diyanet and to prominent individual jurists—advances it precisely because it appears to require the fewest inferential steps.</w:t>
      </w:r>
    </w:p>
    <w:p>
      <w:pPr>
        <w:pStyle w:val="BodyText"/>
      </w:pPr>
      <w:r>
        <w:rPr>
          <w:bCs/>
          <w:b/>
        </w:rPr>
        <w:t xml:space="preserve">Rebuttal.</w:t>
      </w:r>
      <w:r>
        <w:t xml:space="preserve"> </w:t>
      </w:r>
      <w:r>
        <w:t xml:space="preserve">The framework answers the categorical thesis not by denying the prohibition of speculative instruments but by contesting the move from</w:t>
      </w:r>
      <w:r>
        <w:t xml:space="preserve"> </w:t>
      </w:r>
      <w:r>
        <w:rPr>
          <w:iCs/>
          <w:i/>
        </w:rPr>
        <w:t xml:space="preserve">some</w:t>
      </w:r>
      <w:r>
        <w:t xml:space="preserve"> </w:t>
      </w:r>
      <w:r>
        <w:t xml:space="preserve">prohibited uses to a</w:t>
      </w:r>
      <w:r>
        <w:t xml:space="preserve"> </w:t>
      </w:r>
      <w:r>
        <w:rPr>
          <w:iCs/>
          <w:i/>
        </w:rPr>
        <w:t xml:space="preserve">universal</w:t>
      </w:r>
      <w:r>
        <w:t xml:space="preserve"> </w:t>
      </w:r>
      <w:r>
        <w:t xml:space="preserve">prohibition of the asset class. Four responses, in ascending force:</w:t>
      </w:r>
    </w:p>
    <w:p>
      <w:pPr>
        <w:numPr>
          <w:ilvl w:val="0"/>
          <w:numId w:val="1127"/>
        </w:numPr>
      </w:pPr>
      <w:r>
        <w:rPr>
          <w:bCs/>
          <w:b/>
        </w:rPr>
        <w:t xml:space="preserve">Premise 1 proves too much.</w:t>
      </w:r>
      <w:r>
        <w:t xml:space="preserve"> </w:t>
      </w:r>
      <w:r>
        <w:t xml:space="preserve">If</w:t>
      </w:r>
      <w:r>
        <w:t xml:space="preserve"> </w:t>
      </w:r>
      <w:r>
        <w:rPr>
          <w:iCs/>
          <w:i/>
        </w:rPr>
        <w:t xml:space="preserve">mal</w:t>
      </w:r>
      <w:r>
        <w:t xml:space="preserve">-status strictly required intrinsic value or sovereign backing, contemporary fiat currency—valueless paper by intrinsic measure and, in the classical sense, without commodity backing—would itself be void. Yet Dar al-Ifta, AAOIFI, and Taqi Usmani all treat fiat as valid</w:t>
      </w:r>
      <w:r>
        <w:t xml:space="preserve"> </w:t>
      </w:r>
      <w:r>
        <w:rPr>
          <w:iCs/>
          <w:i/>
        </w:rPr>
        <w:t xml:space="preserve">thaman</w:t>
      </w:r>
      <w:r>
        <w:t xml:space="preserve">. Classical fiqh reached the same result for</w:t>
      </w:r>
      <w:r>
        <w:t xml:space="preserve"> </w:t>
      </w:r>
      <w:r>
        <w:rPr>
          <w:iCs/>
          <w:i/>
        </w:rPr>
        <w:t xml:space="preserve">fulus</w:t>
      </w:r>
      <w:r>
        <w:t xml:space="preserve"> </w:t>
      </w:r>
      <w:r>
        <w:t xml:space="preserve">(copper token money whose exchange value exceeded its metal value), which the jurists validated on the basis of customary acceptance, not intrinsic worth (Al-Kasani,</w:t>
      </w:r>
      <w:r>
        <w:t xml:space="preserve"> </w:t>
      </w:r>
      <w:r>
        <w:rPr>
          <w:iCs/>
          <w:i/>
        </w:rPr>
        <w:t xml:space="preserve">Bada’i al-Sana’i</w:t>
      </w:r>
      <w:r>
        <w:t xml:space="preserve">; Ibn Taymiyya on money as an instrument whose value rests on convention).</w:t>
      </w:r>
      <w:r>
        <w:t xml:space="preserve"> </w:t>
      </w:r>
      <w:r>
        <w:rPr>
          <w:iCs/>
          <w:i/>
        </w:rPr>
        <w:t xml:space="preserve">Mal</w:t>
      </w:r>
      <w:r>
        <w:t xml:space="preserve">-status therefore turns on recognised, storable benefit—exactly what Dimensions 1–3 and 5 measure—rather than on intrinsic substance. Premise 1, as stated, is unsound.</w:t>
      </w:r>
    </w:p>
    <w:p>
      <w:pPr>
        <w:numPr>
          <w:ilvl w:val="0"/>
          <w:numId w:val="1127"/>
        </w:numPr>
      </w:pPr>
      <w:r>
        <w:rPr>
          <w:bCs/>
          <w:b/>
        </w:rPr>
        <w:t xml:space="preserve">Gharar and maisir attach to the transaction, not the token (tahqiq al-manat).</w:t>
      </w:r>
      <w:r>
        <w:t xml:space="preserve"> </w:t>
      </w:r>
      <w:r>
        <w:t xml:space="preserve">Classical</w:t>
      </w:r>
      <w:r>
        <w:t xml:space="preserve"> </w:t>
      </w:r>
      <w:r>
        <w:rPr>
          <w:iCs/>
          <w:i/>
        </w:rPr>
        <w:t xml:space="preserve">gharar</w:t>
      </w:r>
      <w:r>
        <w:t xml:space="preserve"> </w:t>
      </w:r>
      <w:r>
        <w:t xml:space="preserve">doctrine voids specific</w:t>
      </w:r>
      <w:r>
        <w:t xml:space="preserve"> </w:t>
      </w:r>
      <w:r>
        <w:rPr>
          <w:iCs/>
          <w:i/>
        </w:rPr>
        <w:t xml:space="preserve">contracts</w:t>
      </w:r>
      <w:r>
        <w:t xml:space="preserve"> </w:t>
      </w:r>
      <w:r>
        <w:t xml:space="preserve">whose object or price is indeterminate—</w:t>
      </w:r>
      <w:r>
        <w:rPr>
          <w:iCs/>
          <w:i/>
        </w:rPr>
        <w:t xml:space="preserve">bay’ al-hasah</w:t>
      </w:r>
      <w:r>
        <w:t xml:space="preserve">,</w:t>
      </w:r>
      <w:r>
        <w:t xml:space="preserve"> </w:t>
      </w:r>
      <w:r>
        <w:rPr>
          <w:iCs/>
          <w:i/>
        </w:rPr>
        <w:t xml:space="preserve">habal al-habala</w:t>
      </w:r>
      <w:r>
        <w:t xml:space="preserve">—not classes of asset. The identical Bitcoin can be the subject of a spot sale of a defined quantity at a defined price (minimal contractual</w:t>
      </w:r>
      <w:r>
        <w:t xml:space="preserve"> </w:t>
      </w:r>
      <w:r>
        <w:rPr>
          <w:iCs/>
          <w:i/>
        </w:rPr>
        <w:t xml:space="preserve">gharar</w:t>
      </w:r>
      <w:r>
        <w:t xml:space="preserve">) or of a leveraged perpetual future (severe</w:t>
      </w:r>
      <w:r>
        <w:t xml:space="preserve"> </w:t>
      </w:r>
      <w:r>
        <w:rPr>
          <w:iCs/>
          <w:i/>
        </w:rPr>
        <w:t xml:space="preserve">gharar</w:t>
      </w:r>
      <w:r>
        <w:t xml:space="preserve"> </w:t>
      </w:r>
      <w:r>
        <w:t xml:space="preserve">compounded by</w:t>
      </w:r>
      <w:r>
        <w:t xml:space="preserve"> </w:t>
      </w:r>
      <w:r>
        <w:rPr>
          <w:iCs/>
          <w:i/>
        </w:rPr>
        <w:t xml:space="preserve">maisir</w:t>
      </w:r>
      <w:r>
        <w:t xml:space="preserve">). The categorical thesis collapses the asset into its most harmful use. The doctrinally precise remedy is to verify the operative cause (</w:t>
      </w:r>
      <w:r>
        <w:rPr>
          <w:iCs/>
          <w:i/>
        </w:rPr>
        <w:t xml:space="preserve">’illa</w:t>
      </w:r>
      <w:r>
        <w:t xml:space="preserve">) in the concrete case—</w:t>
      </w:r>
      <w:r>
        <w:rPr>
          <w:iCs/>
          <w:i/>
        </w:rPr>
        <w:t xml:space="preserve">tahqiq al-manat</w:t>
      </w:r>
      <w:r>
        <w:t xml:space="preserve">—and to pair classification with restrictions on the offending conduct, which is what the framework does.</w:t>
      </w:r>
    </w:p>
    <w:p>
      <w:pPr>
        <w:numPr>
          <w:ilvl w:val="0"/>
          <w:numId w:val="1127"/>
        </w:numPr>
      </w:pPr>
      <w:r>
        <w:rPr>
          <w:bCs/>
          <w:b/>
        </w:rPr>
        <w:t xml:space="preserve">The thesis cannot supply the granularity its own proponents demand.</w:t>
      </w:r>
      <w:r>
        <w:t xml:space="preserve"> </w:t>
      </w:r>
      <w:r>
        <w:t xml:space="preserve">A blanket</w:t>
      </w:r>
      <w:r>
        <w:t xml:space="preserve"> </w:t>
      </w:r>
      <w:r>
        <w:rPr>
          <w:iCs/>
          <w:i/>
        </w:rPr>
        <w:t xml:space="preserve">haram</w:t>
      </w:r>
      <w:r>
        <w:t xml:space="preserve"> </w:t>
      </w:r>
      <w:r>
        <w:t xml:space="preserve">cannot distinguish a fully reserve-backed, audited, regulator-recognised stablecoin (USDC, scored 19/25, Category B) from an anonymous meme-token, yet the prohibitionist authorities themselves draw exactly such distinctions: Dar al-Ifta exempts blockchain technology and legitimate applications (§3.2.4), MUI permits a commodity classification under conditions (§3.4.4), and AAOIFI and Taqi Usmani expressly accept properly-structured stablecoins (§3.1, §3.3). The presence of these concessions</w:t>
      </w:r>
      <w:r>
        <w:t xml:space="preserve"> </w:t>
      </w:r>
      <w:r>
        <w:rPr>
          <w:iCs/>
          <w:i/>
        </w:rPr>
        <w:t xml:space="preserve">within</w:t>
      </w:r>
      <w:r>
        <w:t xml:space="preserve"> </w:t>
      </w:r>
      <w:r>
        <w:t xml:space="preserve">the strict camp refutes true categoricality; the live disagreement is over</w:t>
      </w:r>
      <w:r>
        <w:t xml:space="preserve"> </w:t>
      </w:r>
      <w:r>
        <w:rPr>
          <w:iCs/>
          <w:i/>
        </w:rPr>
        <w:t xml:space="preserve">where</w:t>
      </w:r>
      <w:r>
        <w:t xml:space="preserve"> </w:t>
      </w:r>
      <w:r>
        <w:t xml:space="preserve">the line falls—which is precisely the question a graded framework is built to answer.</w:t>
      </w:r>
    </w:p>
    <w:p>
      <w:pPr>
        <w:numPr>
          <w:ilvl w:val="0"/>
          <w:numId w:val="1127"/>
        </w:numPr>
      </w:pPr>
      <w:r>
        <w:rPr>
          <w:bCs/>
          <w:b/>
        </w:rPr>
        <w:t xml:space="preserve">Where the objection retains full force, the framework already agrees.</w:t>
      </w:r>
      <w:r>
        <w:t xml:space="preserve"> </w:t>
      </w:r>
      <w:r>
        <w:t xml:space="preserve">For a pure, unbacked, speculative token whose predominant realised use is</w:t>
      </w:r>
      <w:r>
        <w:t xml:space="preserve"> </w:t>
      </w:r>
      <w:r>
        <w:rPr>
          <w:iCs/>
          <w:i/>
        </w:rPr>
        <w:t xml:space="preserve">maisir</w:t>
      </w:r>
      <w:r>
        <w:t xml:space="preserve"> </w:t>
      </w:r>
      <w:r>
        <w:t xml:space="preserve">under</w:t>
      </w:r>
      <w:r>
        <w:t xml:space="preserve"> </w:t>
      </w:r>
      <w:r>
        <w:rPr>
          <w:iCs/>
          <w:i/>
        </w:rPr>
        <w:t xml:space="preserve">gharar</w:t>
      </w:r>
      <w:r>
        <w:t xml:space="preserve">, the framework returns Category C–D (Problematic to Non-Compliant)—the same practical outcome the prohibitionist seeks. The framework does not overturn the prohibition of the speculative instrument; it declines to extend that prohibition, by an analogy lacking a shared</w:t>
      </w:r>
      <w:r>
        <w:t xml:space="preserve"> </w:t>
      </w:r>
      <w:r>
        <w:rPr>
          <w:iCs/>
          <w:i/>
        </w:rPr>
        <w:t xml:space="preserve">’illa</w:t>
      </w:r>
      <w:r>
        <w:t xml:space="preserve">, to structurally different instruments (asset-backed and stablecoin designs) that do not exhibit the operative cause of the ruling.</w:t>
      </w:r>
    </w:p>
    <w:p>
      <w:pPr>
        <w:pStyle w:val="FirstParagraph"/>
      </w:pPr>
      <w:r>
        <w:rPr>
          <w:bCs/>
          <w:b/>
        </w:rPr>
        <w:t xml:space="preserve">The methodological divergence, named.</w:t>
      </w:r>
      <w:r>
        <w:t xml:space="preserve"> </w:t>
      </w:r>
      <w:r>
        <w:t xml:space="preserve">This is not a case of</w:t>
      </w:r>
      <w:r>
        <w:t xml:space="preserve"> </w:t>
      </w:r>
      <w:r>
        <w:t xml:space="preserve">“</w:t>
      </w:r>
      <w:r>
        <w:t xml:space="preserve">some scholars say yes and some say no.</w:t>
      </w:r>
      <w:r>
        <w:t xml:space="preserve">”</w:t>
      </w:r>
      <w:r>
        <w:t xml:space="preserve"> </w:t>
      </w:r>
      <w:r>
        <w:t xml:space="preserve">It is a divergence in</w:t>
      </w:r>
      <w:r>
        <w:t xml:space="preserve"> </w:t>
      </w:r>
      <w:r>
        <w:rPr>
          <w:iCs/>
          <w:i/>
        </w:rPr>
        <w:t xml:space="preserve">usul al-fiqh</w:t>
      </w:r>
      <w:r>
        <w:t xml:space="preserve">. The prohibitionist reasons from</w:t>
      </w:r>
      <w:r>
        <w:t xml:space="preserve"> </w:t>
      </w:r>
      <w:r>
        <w:rPr>
          <w:iCs/>
          <w:i/>
        </w:rPr>
        <w:t xml:space="preserve">sadd al-dhara’i</w:t>
      </w:r>
      <w:r>
        <w:t xml:space="preserve"> </w:t>
      </w:r>
      <w:r>
        <w:t xml:space="preserve">and a presumption that a novel instrument bearing prohibited features is void until affirmatively validated. The framework reasons from</w:t>
      </w:r>
      <w:r>
        <w:t xml:space="preserve"> </w:t>
      </w:r>
      <w:r>
        <w:rPr>
          <w:iCs/>
          <w:i/>
        </w:rPr>
        <w:t xml:space="preserve">al-asl fi al-muamalat al-ibaha</w:t>
      </w:r>
      <w:r>
        <w:t xml:space="preserve"> </w:t>
      </w:r>
      <w:r>
        <w:t xml:space="preserve">(the default permissibility of transactions) disciplined by</w:t>
      </w:r>
      <w:r>
        <w:t xml:space="preserve"> </w:t>
      </w:r>
      <w:r>
        <w:rPr>
          <w:iCs/>
          <w:i/>
        </w:rPr>
        <w:t xml:space="preserve">tahqiq al-manat</w:t>
      </w:r>
      <w:r>
        <w:t xml:space="preserve">, validating or invalidating each design by its verified characteristics. The categorical thesis is thus not defeated but</w:t>
      </w:r>
      <w:r>
        <w:t xml:space="preserve"> </w:t>
      </w:r>
      <w:r>
        <w:rPr>
          <w:iCs/>
          <w:i/>
        </w:rPr>
        <w:t xml:space="preserve">bounded</w:t>
      </w:r>
      <w:r>
        <w:t xml:space="preserve">: sound as applied to the speculative assets that generated it, and unsound only as a claim of universality. The five-dimensional framework is the instrument that marks that boundary with the granularity the sources require.</w:t>
      </w:r>
    </w:p>
    <w:bookmarkEnd w:id="314"/>
    <w:bookmarkEnd w:id="315"/>
    <w:bookmarkStart w:id="319" w:name="X97dadf136bd1a43917d02ab07616fbffa03f187"/>
    <w:p>
      <w:pPr>
        <w:pStyle w:val="Heading2"/>
      </w:pPr>
      <w:r>
        <w:t xml:space="preserve">5.6 Regulatory Harmonization Through Classification Framework</w:t>
      </w:r>
    </w:p>
    <w:p>
      <w:pPr>
        <w:pStyle w:val="FirstParagraph"/>
      </w:pPr>
      <w:r>
        <w:t xml:space="preserve">The unified framework enables progressive regulatory harmonization across Islamic jurisdictions:</w:t>
      </w:r>
    </w:p>
    <w:bookmarkStart w:id="316" w:name="X76e8de443099809a0bf37a87ab0e4101991d4bc"/>
    <w:p>
      <w:pPr>
        <w:pStyle w:val="Heading3"/>
      </w:pPr>
      <w:r>
        <w:t xml:space="preserve">Phase 1: Short-term (2025-2026) - Category Recognition</w:t>
      </w:r>
    </w:p>
    <w:p>
      <w:pPr>
        <w:pStyle w:val="FirstParagraph"/>
      </w:pPr>
      <w:r>
        <w:rPr>
          <w:bCs/>
          <w:b/>
        </w:rPr>
        <w:t xml:space="preserve">Action Items:</w:t>
      </w:r>
      <w:r>
        <w:t xml:space="preserve"> </w:t>
      </w:r>
      <w:r>
        <w:t xml:space="preserve">- Indonesia (OJK): Formally recognize Category A and B cryptocurrencies under commodity framework</w:t>
      </w:r>
      <w:r>
        <w:t xml:space="preserve"> </w:t>
      </w:r>
      <w:r>
        <w:t xml:space="preserve">- Malaysia (BNM): Implement digital asset licensing specifically for Category A cryptocurrencies</w:t>
      </w:r>
      <w:r>
        <w:t xml:space="preserve"> </w:t>
      </w:r>
      <w:r>
        <w:t xml:space="preserve">- UAE (VARA): Approve Category A and B cryptocurrencies under Islamic digital asset framework</w:t>
      </w:r>
      <w:r>
        <w:t xml:space="preserve"> </w:t>
      </w:r>
      <w:r>
        <w:t xml:space="preserve">- Bahrain (CBB): Develop prudential framework incorporating category-based risk weighting</w:t>
      </w:r>
    </w:p>
    <w:p>
      <w:pPr>
        <w:pStyle w:val="BodyText"/>
      </w:pPr>
      <w:r>
        <w:rPr>
          <w:bCs/>
          <w:b/>
        </w:rPr>
        <w:t xml:space="preserve">Expected Outcomes:</w:t>
      </w:r>
      <w:r>
        <w:t xml:space="preserve"> </w:t>
      </w:r>
      <w:r>
        <w:t xml:space="preserve">- Stablecoins (Category B minimum) eligible for institutional custody</w:t>
      </w:r>
      <w:r>
        <w:t xml:space="preserve"> </w:t>
      </w:r>
      <w:r>
        <w:t xml:space="preserve">- Asset-backed tokens (Category A) eligible for banking integration</w:t>
      </w:r>
      <w:r>
        <w:t xml:space="preserve"> </w:t>
      </w:r>
      <w:r>
        <w:t xml:space="preserve">- Clear compliance pathways for cryptocurrency projects</w:t>
      </w:r>
    </w:p>
    <w:bookmarkEnd w:id="316"/>
    <w:bookmarkStart w:id="317" w:name="X715a2b99030cdfc9b30c7ee48093224cdaa8f5c"/>
    <w:p>
      <w:pPr>
        <w:pStyle w:val="Heading3"/>
      </w:pPr>
      <w:r>
        <w:t xml:space="preserve">Phase 2: Medium-term (2026-2028) - Framework Harmonization</w:t>
      </w:r>
    </w:p>
    <w:p>
      <w:pPr>
        <w:pStyle w:val="FirstParagraph"/>
      </w:pPr>
      <w:r>
        <w:rPr>
          <w:bCs/>
          <w:b/>
        </w:rPr>
        <w:t xml:space="preserve">Action Items:</w:t>
      </w:r>
      <w:r>
        <w:t xml:space="preserve"> </w:t>
      </w:r>
      <w:r>
        <w:t xml:space="preserve">- Establish Inter-Islamic Finance Council (IIFC) working group on digital assets</w:t>
      </w:r>
      <w:r>
        <w:t xml:space="preserve"> </w:t>
      </w:r>
      <w:r>
        <w:t xml:space="preserve">- Develop standardized scoring methodology across jurisdictions</w:t>
      </w:r>
      <w:r>
        <w:t xml:space="preserve"> </w:t>
      </w:r>
      <w:r>
        <w:t xml:space="preserve">- Create mutual recognition agreements for Category A classifications</w:t>
      </w:r>
      <w:r>
        <w:t xml:space="preserve"> </w:t>
      </w:r>
      <w:r>
        <w:t xml:space="preserve">- Establish minimum Dimension standards (e.g., minimum Score 3 on Stability and Asset Backing)</w:t>
      </w:r>
    </w:p>
    <w:p>
      <w:pPr>
        <w:pStyle w:val="BodyText"/>
      </w:pPr>
      <w:r>
        <w:rPr>
          <w:bCs/>
          <w:b/>
        </w:rPr>
        <w:t xml:space="preserve">Expected Outcomes:</w:t>
      </w:r>
      <w:r>
        <w:t xml:space="preserve"> </w:t>
      </w:r>
      <w:r>
        <w:t xml:space="preserve">- Cryptocurrency approved in one major Islamic jurisdiction (e.g., Malaysia) accepted in others</w:t>
      </w:r>
      <w:r>
        <w:t xml:space="preserve"> </w:t>
      </w:r>
      <w:r>
        <w:t xml:space="preserve">- Reduced duplicate compliance efforts for projects</w:t>
      </w:r>
      <w:r>
        <w:t xml:space="preserve"> </w:t>
      </w:r>
      <w:r>
        <w:t xml:space="preserve">- Lower compliance costs enabling smaller projects to achieve Islamic compliance</w:t>
      </w:r>
    </w:p>
    <w:bookmarkEnd w:id="317"/>
    <w:bookmarkStart w:id="318" w:name="X226af85f7428dcee1368b768529e0aead499553"/>
    <w:p>
      <w:pPr>
        <w:pStyle w:val="Heading3"/>
      </w:pPr>
      <w:r>
        <w:t xml:space="preserve">Phase 3: Long-term (2028-2030) - CBDC Integration</w:t>
      </w:r>
    </w:p>
    <w:p>
      <w:pPr>
        <w:pStyle w:val="FirstParagraph"/>
      </w:pPr>
      <w:r>
        <w:rPr>
          <w:bCs/>
          <w:b/>
        </w:rPr>
        <w:t xml:space="preserve">Action Items:</w:t>
      </w:r>
      <w:r>
        <w:t xml:space="preserve"> </w:t>
      </w:r>
      <w:r>
        <w:t xml:space="preserve">- Launch CBDC programs in Saudi Arabia, UAE, Malaysia</w:t>
      </w:r>
      <w:r>
        <w:t xml:space="preserve"> </w:t>
      </w:r>
      <w:r>
        <w:t xml:space="preserve">- Integrate CBDC with Islamic digital asset framework</w:t>
      </w:r>
      <w:r>
        <w:t xml:space="preserve"> </w:t>
      </w:r>
      <w:r>
        <w:t xml:space="preserve">- Enable Islamic cryptocurrency-CBDC interoperability</w:t>
      </w:r>
      <w:r>
        <w:t xml:space="preserve"> </w:t>
      </w:r>
      <w:r>
        <w:t xml:space="preserve">- Establish Islamic digital asset reserve pools</w:t>
      </w:r>
    </w:p>
    <w:p>
      <w:pPr>
        <w:pStyle w:val="BodyText"/>
      </w:pPr>
      <w:r>
        <w:rPr>
          <w:bCs/>
          <w:b/>
        </w:rPr>
        <w:t xml:space="preserve">Expected Outcomes:</w:t>
      </w:r>
      <w:r>
        <w:t xml:space="preserve"> </w:t>
      </w:r>
      <w:r>
        <w:t xml:space="preserve">- Seamless Islamic digital asset ecosystem</w:t>
      </w:r>
      <w:r>
        <w:t xml:space="preserve"> </w:t>
      </w:r>
      <w:r>
        <w:t xml:space="preserve">- Reduced regulatory arbitrage</w:t>
      </w:r>
      <w:r>
        <w:t xml:space="preserve"> </w:t>
      </w:r>
      <w:r>
        <w:t xml:space="preserve">- Enhanced financial inclusion for Islamic finance globally</w:t>
      </w:r>
    </w:p>
    <w:bookmarkEnd w:id="318"/>
    <w:bookmarkEnd w:id="319"/>
    <w:bookmarkStart w:id="324" w:name="Xb6a4cf1c074a5e036cf216e0dffb81a3dd2363d"/>
    <w:p>
      <w:pPr>
        <w:pStyle w:val="Heading2"/>
      </w:pPr>
      <w:r>
        <w:t xml:space="preserve">5.7 Limitations and Methodological Considerations</w:t>
      </w:r>
    </w:p>
    <w:bookmarkStart w:id="320" w:name="dimension-independence-and-correlation"/>
    <w:p>
      <w:pPr>
        <w:pStyle w:val="Heading3"/>
      </w:pPr>
      <w:r>
        <w:t xml:space="preserve">5.7.1 Dimension Independence and Correlation</w:t>
      </w:r>
    </w:p>
    <w:p>
      <w:pPr>
        <w:pStyle w:val="FirstParagraph"/>
      </w:pPr>
      <w:r>
        <w:t xml:space="preserve">The framework treats dimensions as independent variables, but in practice they exhibit correlation: asset-backed cryptocurrencies tend to have higher stability and better governance. This correlation does not invalidate the dimensional approach but suggests some cryptocurrencies may improve multiple dimensions simultaneously through single design modifications.</w:t>
      </w:r>
    </w:p>
    <w:bookmarkEnd w:id="320"/>
    <w:bookmarkStart w:id="321" w:name="temporal-sensitivity"/>
    <w:p>
      <w:pPr>
        <w:pStyle w:val="Heading3"/>
      </w:pPr>
      <w:r>
        <w:t xml:space="preserve">5.7.2 Temporal Sensitivity</w:t>
      </w:r>
    </w:p>
    <w:p>
      <w:pPr>
        <w:pStyle w:val="FirstParagraph"/>
      </w:pPr>
      <w:r>
        <w:t xml:space="preserve">Cryptocurrency characteristics change rapidly: new stablecoin models emerge, governance structures evolve, regulatory recognition shifts. The framework snapshot represents point-in-time assessment. Regular re-evaluation (annual minimum) is required to maintain accuracy.</w:t>
      </w:r>
    </w:p>
    <w:bookmarkEnd w:id="321"/>
    <w:bookmarkStart w:id="322" w:name="dimension-weighting"/>
    <w:p>
      <w:pPr>
        <w:pStyle w:val="Heading3"/>
      </w:pPr>
      <w:r>
        <w:t xml:space="preserve">5.7.3 Dimension Weighting</w:t>
      </w:r>
    </w:p>
    <w:p>
      <w:pPr>
        <w:pStyle w:val="FirstParagraph"/>
      </w:pPr>
      <w:r>
        <w:t xml:space="preserve">The framework weights dimensions equally (each Dimension = maximum 5 points = 20% of total score). Alternative weighting schemes emphasizing asset backing (Foundation issue) or stability (Certainty issue) would yield different category assignments. Stakeholders may prefer weighted models where Asset Backing and Stability dimensions receive 30% weight each.</w:t>
      </w:r>
    </w:p>
    <w:bookmarkEnd w:id="322"/>
    <w:bookmarkStart w:id="323" w:name="X209e8dcffed0e87e9553cf5db5a2a1b49c43f45"/>
    <w:p>
      <w:pPr>
        <w:pStyle w:val="Heading3"/>
      </w:pPr>
      <w:r>
        <w:t xml:space="preserve">5.7.4 Regulatory Recognition Dimension Circularity</w:t>
      </w:r>
    </w:p>
    <w:p>
      <w:pPr>
        <w:pStyle w:val="FirstParagraph"/>
      </w:pPr>
      <w:r>
        <w:t xml:space="preserve">The Regulatory Recognition dimension (Dimension 5) reflects institutional assessment of Islamic compliance rather than first-principles Islamic jurisprudence. This can create circular reasoning: cryptocurrencies receive regulatory approval, which boosts their compliance score, which justifies approval. Separation of regulatory assessment from compliance scoring deserves consideration.</w:t>
      </w:r>
    </w:p>
    <w:bookmarkEnd w:id="323"/>
    <w:bookmarkEnd w:id="324"/>
    <w:bookmarkStart w:id="329" w:name="framework-application-workflow"/>
    <w:p>
      <w:pPr>
        <w:pStyle w:val="Heading2"/>
      </w:pPr>
      <w:r>
        <w:t xml:space="preserve">5.8 Framework Application Workflow</w:t>
      </w:r>
    </w:p>
    <w:bookmarkStart w:id="325" w:name="for-islamic-financial-institutions"/>
    <w:p>
      <w:pPr>
        <w:pStyle w:val="Heading3"/>
      </w:pPr>
      <w:r>
        <w:t xml:space="preserve">For Islamic Financial Institutions:</w:t>
      </w:r>
    </w:p>
    <w:p>
      <w:pPr>
        <w:numPr>
          <w:ilvl w:val="0"/>
          <w:numId w:val="1128"/>
        </w:numPr>
        <w:pStyle w:val="Compact"/>
      </w:pPr>
      <w:r>
        <w:t xml:space="preserve">Identify cryptocurrency under consideration</w:t>
      </w:r>
    </w:p>
    <w:p>
      <w:pPr>
        <w:numPr>
          <w:ilvl w:val="0"/>
          <w:numId w:val="1128"/>
        </w:numPr>
        <w:pStyle w:val="Compact"/>
      </w:pPr>
      <w:r>
        <w:t xml:space="preserve">Score across five dimensions using provided criteria</w:t>
      </w:r>
    </w:p>
    <w:p>
      <w:pPr>
        <w:numPr>
          <w:ilvl w:val="0"/>
          <w:numId w:val="1128"/>
        </w:numPr>
        <w:pStyle w:val="Compact"/>
      </w:pPr>
      <w:r>
        <w:t xml:space="preserve">Calculate composite score and category assignment</w:t>
      </w:r>
    </w:p>
    <w:p>
      <w:pPr>
        <w:numPr>
          <w:ilvl w:val="0"/>
          <w:numId w:val="1128"/>
        </w:numPr>
        <w:pStyle w:val="Compact"/>
      </w:pPr>
      <w:r>
        <w:t xml:space="preserve">Cross-reference with Islamic authority positions for category</w:t>
      </w:r>
    </w:p>
    <w:p>
      <w:pPr>
        <w:numPr>
          <w:ilvl w:val="0"/>
          <w:numId w:val="1128"/>
        </w:numPr>
        <w:pStyle w:val="Compact"/>
      </w:pPr>
      <w:r>
        <w:t xml:space="preserve">Consult with institutional Shariah board for final determination</w:t>
      </w:r>
    </w:p>
    <w:p>
      <w:pPr>
        <w:numPr>
          <w:ilvl w:val="0"/>
          <w:numId w:val="1128"/>
        </w:numPr>
        <w:pStyle w:val="Compact"/>
      </w:pPr>
      <w:r>
        <w:t xml:space="preserve">Document compliance assessment for regulatory filing</w:t>
      </w:r>
    </w:p>
    <w:bookmarkEnd w:id="325"/>
    <w:bookmarkStart w:id="326" w:name="Xd6e3f146fa98f19164ff5698c3e4e259e2d9e28"/>
    <w:p>
      <w:pPr>
        <w:pStyle w:val="Heading3"/>
      </w:pPr>
      <w:r>
        <w:t xml:space="preserve">For Cryptocurrency Projects Seeking Islamic Compliance:</w:t>
      </w:r>
    </w:p>
    <w:p>
      <w:pPr>
        <w:numPr>
          <w:ilvl w:val="0"/>
          <w:numId w:val="1129"/>
        </w:numPr>
        <w:pStyle w:val="Compact"/>
      </w:pPr>
      <w:r>
        <w:t xml:space="preserve">Score current cryptocurrency across five dimensions</w:t>
      </w:r>
    </w:p>
    <w:p>
      <w:pPr>
        <w:numPr>
          <w:ilvl w:val="0"/>
          <w:numId w:val="1129"/>
        </w:numPr>
        <w:pStyle w:val="Compact"/>
      </w:pPr>
      <w:r>
        <w:t xml:space="preserve">Identify lowest-scoring dimension(s)</w:t>
      </w:r>
    </w:p>
    <w:p>
      <w:pPr>
        <w:numPr>
          <w:ilvl w:val="0"/>
          <w:numId w:val="1129"/>
        </w:numPr>
        <w:pStyle w:val="Compact"/>
      </w:pPr>
      <w:r>
        <w:t xml:space="preserve">Develop improvement pathway for lowest dimensions</w:t>
      </w:r>
    </w:p>
    <w:p>
      <w:pPr>
        <w:numPr>
          <w:ilvl w:val="0"/>
          <w:numId w:val="1129"/>
        </w:numPr>
        <w:pStyle w:val="Compact"/>
      </w:pPr>
      <w:r>
        <w:t xml:space="preserve">Prioritize improvements: Asset Backing → Stability → Utility → Governance</w:t>
      </w:r>
    </w:p>
    <w:p>
      <w:pPr>
        <w:numPr>
          <w:ilvl w:val="0"/>
          <w:numId w:val="1129"/>
        </w:numPr>
        <w:pStyle w:val="Compact"/>
      </w:pPr>
      <w:r>
        <w:t xml:space="preserve">Engage with Islamic regulators in target jurisdictions</w:t>
      </w:r>
    </w:p>
    <w:p>
      <w:pPr>
        <w:numPr>
          <w:ilvl w:val="0"/>
          <w:numId w:val="1129"/>
        </w:numPr>
        <w:pStyle w:val="Compact"/>
      </w:pPr>
      <w:r>
        <w:t xml:space="preserve">Re-score and repeat iteratively until Category A achieved</w:t>
      </w:r>
    </w:p>
    <w:bookmarkEnd w:id="326"/>
    <w:bookmarkStart w:id="327" w:name="for-regulators"/>
    <w:p>
      <w:pPr>
        <w:pStyle w:val="Heading3"/>
      </w:pPr>
      <w:r>
        <w:t xml:space="preserve">For Regulators:</w:t>
      </w:r>
    </w:p>
    <w:p>
      <w:pPr>
        <w:numPr>
          <w:ilvl w:val="0"/>
          <w:numId w:val="1130"/>
        </w:numPr>
        <w:pStyle w:val="Compact"/>
      </w:pPr>
      <w:r>
        <w:t xml:space="preserve">Define minimum dimension scores for different regulatory classifications</w:t>
      </w:r>
    </w:p>
    <w:p>
      <w:pPr>
        <w:numPr>
          <w:ilvl w:val="0"/>
          <w:numId w:val="1130"/>
        </w:numPr>
        <w:pStyle w:val="Compact"/>
      </w:pPr>
      <w:r>
        <w:t xml:space="preserve">Establish mutual recognition criteria for inter-jurisdictional approvals</w:t>
      </w:r>
    </w:p>
    <w:p>
      <w:pPr>
        <w:numPr>
          <w:ilvl w:val="0"/>
          <w:numId w:val="1130"/>
        </w:numPr>
        <w:pStyle w:val="Compact"/>
      </w:pPr>
      <w:r>
        <w:t xml:space="preserve">Develop periodic review cycle for cryptocurrency classification updates</w:t>
      </w:r>
    </w:p>
    <w:p>
      <w:pPr>
        <w:numPr>
          <w:ilvl w:val="0"/>
          <w:numId w:val="1130"/>
        </w:numPr>
        <w:pStyle w:val="Compact"/>
      </w:pPr>
      <w:r>
        <w:t xml:space="preserve">Coordinate with other Islamic regulators through standardized framework</w:t>
      </w:r>
    </w:p>
    <w:bookmarkEnd w:id="327"/>
    <w:bookmarkStart w:id="328" w:name="X63b7fc6aec3aae1e7903802549cc5b4c56367b1"/>
    <w:p>
      <w:pPr>
        <w:pStyle w:val="Heading3"/>
      </w:pPr>
      <w:r>
        <w:t xml:space="preserve">Enforcement Mechanics: Continuous Monitoring, Recertification, and Downgrade Protocol</w:t>
      </w:r>
    </w:p>
    <w:p>
      <w:pPr>
        <w:pStyle w:val="FirstParagraph"/>
      </w:pPr>
      <w:r>
        <w:t xml:space="preserve">A classification is not a certificate awarded once and retained indefinitely. Compliance is a</w:t>
      </w:r>
      <w:r>
        <w:t xml:space="preserve"> </w:t>
      </w:r>
      <w:r>
        <w:rPr>
          <w:iCs/>
          <w:i/>
        </w:rPr>
        <w:t xml:space="preserve">continuing state</w:t>
      </w:r>
      <w:r>
        <w:t xml:space="preserve">, and the framework requires machinery to detect when an asset ceases to occupy the category it was assigned and to attach consequences to that change. This dynamic dimension is what makes the classification an operative regulatory tool rather than a one-time academic scoring exercise.</w:t>
      </w:r>
    </w:p>
    <w:p>
      <w:pPr>
        <w:pStyle w:val="BodyText"/>
      </w:pPr>
      <w:r>
        <w:rPr>
          <w:bCs/>
          <w:b/>
        </w:rPr>
        <w:t xml:space="preserve">Jurisprudential warrant for dynamic re-classification.</w:t>
      </w:r>
      <w:r>
        <w:t xml:space="preserve"> </w:t>
      </w:r>
      <w:r>
        <w:t xml:space="preserve">The requirement follows directly from a foundational principle of</w:t>
      </w:r>
      <w:r>
        <w:t xml:space="preserve"> </w:t>
      </w:r>
      <w:r>
        <w:rPr>
          <w:iCs/>
          <w:i/>
        </w:rPr>
        <w:t xml:space="preserve">uṣūl al-fiqh</w:t>
      </w:r>
      <w:r>
        <w:t xml:space="preserve">:</w:t>
      </w:r>
      <w:r>
        <w:t xml:space="preserve"> </w:t>
      </w:r>
      <w:r>
        <w:rPr>
          <w:iCs/>
          <w:i/>
        </w:rPr>
        <w:t xml:space="preserve">al-ḥukm yadūru maʿa ʿillatihi wujūdan wa ʿadaman</w:t>
      </w:r>
      <w:r>
        <w:t xml:space="preserve"> </w:t>
      </w:r>
      <w:r>
        <w:t xml:space="preserve">— a ruling turns with its operative cause (ʿilla), present when the cause is present and absent when it is absent (a maxim systematised across the classical</w:t>
      </w:r>
      <w:r>
        <w:t xml:space="preserve"> </w:t>
      </w:r>
      <w:r>
        <w:rPr>
          <w:iCs/>
          <w:i/>
        </w:rPr>
        <w:t xml:space="preserve">qawāʿid</w:t>
      </w:r>
      <w:r>
        <w:t xml:space="preserve"> </w:t>
      </w:r>
      <w:r>
        <w:t xml:space="preserve">literature; cf. Ibn Nujaym,</w:t>
      </w:r>
      <w:r>
        <w:t xml:space="preserve"> </w:t>
      </w:r>
      <w:r>
        <w:rPr>
          <w:iCs/>
          <w:i/>
        </w:rPr>
        <w:t xml:space="preserve">al-Ashbāh wa’l-Naẓāʾir</w:t>
      </w:r>
      <w:r>
        <w:t xml:space="preserve">). A stablecoin classified Category B because its reserves are fully backed (the ʿilla) forfeits that classification the moment the backing fails; the compliance ruling cannot outlive the attribute that justified it. Equally, the principle of</w:t>
      </w:r>
      <w:r>
        <w:t xml:space="preserve"> </w:t>
      </w:r>
      <w:r>
        <w:rPr>
          <w:iCs/>
          <w:i/>
        </w:rPr>
        <w:t xml:space="preserve">istiṣḥāb</w:t>
      </w:r>
      <w:r>
        <w:t xml:space="preserve"> </w:t>
      </w:r>
      <w:r>
        <w:t xml:space="preserve">(presumption of continuity) permits a prior classification to stand only until contrary evidence emerges — placing an affirmative monitoring burden on the certifying regulator. Static certification would treat a contingent, attribute-dependent ruling as if it were permanent, which the jurisprudence does not license.</w:t>
      </w:r>
    </w:p>
    <w:p>
      <w:pPr>
        <w:pStyle w:val="BodyText"/>
      </w:pPr>
      <w:r>
        <w:rPr>
          <w:bCs/>
          <w:b/>
        </w:rPr>
        <w:t xml:space="preserve">Monitoring inputs (per dimension).</w:t>
      </w:r>
      <w:r>
        <w:t xml:space="preserve"> </w:t>
      </w:r>
      <w:r>
        <w:t xml:space="preserve">Each dimension is mapped to observable indicators that a supervisory data pipeline tracks continuously rather than annually:</w:t>
      </w:r>
    </w:p>
    <w:p>
      <w:pPr>
        <w:numPr>
          <w:ilvl w:val="0"/>
          <w:numId w:val="1131"/>
        </w:numPr>
        <w:pStyle w:val="Compact"/>
      </w:pPr>
      <w:r>
        <w:rPr>
          <w:bCs/>
          <w:b/>
        </w:rPr>
        <w:t xml:space="preserve">Dimension 1 (Asset Backing):</w:t>
      </w:r>
      <w:r>
        <w:t xml:space="preserve"> </w:t>
      </w:r>
      <w:r>
        <w:t xml:space="preserve">independent reserve attestation reports; collateralisation ratio; custody and bankruptcy-remoteness status.</w:t>
      </w:r>
    </w:p>
    <w:p>
      <w:pPr>
        <w:numPr>
          <w:ilvl w:val="0"/>
          <w:numId w:val="1131"/>
        </w:numPr>
        <w:pStyle w:val="Compact"/>
      </w:pPr>
      <w:r>
        <w:rPr>
          <w:bCs/>
          <w:b/>
        </w:rPr>
        <w:t xml:space="preserve">Dimension 2 (Value Stability):</w:t>
      </w:r>
      <w:r>
        <w:t xml:space="preserve"> </w:t>
      </w:r>
      <w:r>
        <w:t xml:space="preserve">realised volatility and maximum deviation from peg or target band over rolling windows.</w:t>
      </w:r>
    </w:p>
    <w:p>
      <w:pPr>
        <w:numPr>
          <w:ilvl w:val="0"/>
          <w:numId w:val="1131"/>
        </w:numPr>
        <w:pStyle w:val="Compact"/>
      </w:pPr>
      <w:r>
        <w:rPr>
          <w:bCs/>
          <w:b/>
        </w:rPr>
        <w:t xml:space="preserve">Dimension 3 (Productive Utility):</w:t>
      </w:r>
      <w:r>
        <w:t xml:space="preserve"> </w:t>
      </w:r>
      <w:r>
        <w:t xml:space="preserve">on-chain settlement volume, active-address trends, and demonstrated non-speculative use.</w:t>
      </w:r>
    </w:p>
    <w:p>
      <w:pPr>
        <w:numPr>
          <w:ilvl w:val="0"/>
          <w:numId w:val="1131"/>
        </w:numPr>
        <w:pStyle w:val="Compact"/>
      </w:pPr>
      <w:r>
        <w:rPr>
          <w:bCs/>
          <w:b/>
        </w:rPr>
        <w:t xml:space="preserve">Dimension 4 (Governance):</w:t>
      </w:r>
      <w:r>
        <w:t xml:space="preserve"> </w:t>
      </w:r>
      <w:r>
        <w:t xml:space="preserve">token- and validator-concentration metrics; changes in controlling entities or admin-key custody.</w:t>
      </w:r>
    </w:p>
    <w:p>
      <w:pPr>
        <w:numPr>
          <w:ilvl w:val="0"/>
          <w:numId w:val="1131"/>
        </w:numPr>
        <w:pStyle w:val="Compact"/>
      </w:pPr>
      <w:r>
        <w:rPr>
          <w:bCs/>
          <w:b/>
        </w:rPr>
        <w:t xml:space="preserve">Dimension 5 (Regulatory Recognition):</w:t>
      </w:r>
      <w:r>
        <w:t xml:space="preserve"> </w:t>
      </w:r>
      <w:r>
        <w:t xml:space="preserve">new fatwas, licensing decisions, or prohibitions in member jurisdictions.</w:t>
      </w:r>
    </w:p>
    <w:p>
      <w:pPr>
        <w:pStyle w:val="FirstParagraph"/>
      </w:pPr>
      <w:r>
        <w:t xml:space="preserve">The empirical values feeding these indicators are supplied by the screening and market-data pipeline (see Appendix F and the compliance-screening dataset), not asserted by the analyst; where an input cannot be independently sourced, the dimension is scored conservatively and the gap disclosed.</w:t>
      </w:r>
    </w:p>
    <w:p>
      <w:pPr>
        <w:pStyle w:val="BodyText"/>
      </w:pPr>
      <w:r>
        <w:rPr>
          <w:bCs/>
          <w:b/>
        </w:rPr>
        <w:t xml:space="preserve">Recertification cadence.</w:t>
      </w:r>
      <w:r>
        <w:t xml:space="preserve"> </w:t>
      </w:r>
      <w:r>
        <w:t xml:space="preserve">Two clocks run in parallel: (i) a</w:t>
      </w:r>
      <w:r>
        <w:t xml:space="preserve"> </w:t>
      </w:r>
      <w:r>
        <w:rPr>
          <w:bCs/>
          <w:b/>
        </w:rPr>
        <w:t xml:space="preserve">scheduled</w:t>
      </w:r>
      <w:r>
        <w:t xml:space="preserve"> </w:t>
      </w:r>
      <w:r>
        <w:t xml:space="preserve">minimum annual recertification (consistent with the temporal-sensitivity limitation of §5.7.2), and (ii) an</w:t>
      </w:r>
      <w:r>
        <w:t xml:space="preserve"> </w:t>
      </w:r>
      <w:r>
        <w:rPr>
          <w:bCs/>
          <w:b/>
        </w:rPr>
        <w:t xml:space="preserve">event-driven</w:t>
      </w:r>
      <w:r>
        <w:t xml:space="preserve"> </w:t>
      </w:r>
      <w:r>
        <w:t xml:space="preserve">re-score triggered immediately by any material change — a de-peg event, a failed or qualified reserve attestation, a governance-capture event, an exchange delisting, or a regulatory reversal.</w:t>
      </w:r>
    </w:p>
    <w:p>
      <w:pPr>
        <w:pStyle w:val="BodyText"/>
      </w:pPr>
      <w:r>
        <w:rPr>
          <w:bCs/>
          <w:b/>
        </w:rPr>
        <w:t xml:space="preserve">Downgrade triggers and the asset-side consequence ladder.</w:t>
      </w:r>
      <w:r>
        <w:t xml:space="preserve"> </w:t>
      </w:r>
      <w:r>
        <w:t xml:space="preserve">When monitoring detects deterioration, the asset moves through a graduated protocol rather than a binary halal/haram flip:</w:t>
      </w:r>
    </w:p>
    <w:p>
      <w:pPr>
        <w:numPr>
          <w:ilvl w:val="0"/>
          <w:numId w:val="1132"/>
        </w:numPr>
        <w:pStyle w:val="Compact"/>
      </w:pPr>
      <w:r>
        <w:rPr>
          <w:bCs/>
          <w:b/>
        </w:rPr>
        <w:t xml:space="preserve">Watchlist</w:t>
      </w:r>
      <w:r>
        <w:t xml:space="preserve"> </w:t>
      </w:r>
      <w:r>
        <w:t xml:space="preserve">— a single indicator breaches its threshold; classification retained but flagged, institutions notified.</w:t>
      </w:r>
    </w:p>
    <w:p>
      <w:pPr>
        <w:numPr>
          <w:ilvl w:val="0"/>
          <w:numId w:val="1132"/>
        </w:numPr>
        <w:pStyle w:val="Compact"/>
      </w:pPr>
      <w:r>
        <w:rPr>
          <w:bCs/>
          <w:b/>
        </w:rPr>
        <w:t xml:space="preserve">Provisional downgrade</w:t>
      </w:r>
      <w:r>
        <w:t xml:space="preserve"> </w:t>
      </w:r>
      <w:r>
        <w:t xml:space="preserve">— a dimension score falls pending review (e.g., a stablecoin trading outside its band beyond the permitted duration provisionally loses points on Dimension 2); the composite category is suspended.</w:t>
      </w:r>
    </w:p>
    <w:p>
      <w:pPr>
        <w:numPr>
          <w:ilvl w:val="0"/>
          <w:numId w:val="1132"/>
        </w:numPr>
        <w:pStyle w:val="Compact"/>
      </w:pPr>
      <w:r>
        <w:rPr>
          <w:bCs/>
          <w:b/>
        </w:rPr>
        <w:t xml:space="preserve">Category reassignment</w:t>
      </w:r>
      <w:r>
        <w:t xml:space="preserve"> </w:t>
      </w:r>
      <w:r>
        <w:t xml:space="preserve">— the technical panel confirms the lower score; the asset is formally re-categorised and the Qualified Registry updated.</w:t>
      </w:r>
    </w:p>
    <w:p>
      <w:pPr>
        <w:numPr>
          <w:ilvl w:val="0"/>
          <w:numId w:val="1132"/>
        </w:numPr>
        <w:pStyle w:val="Compact"/>
      </w:pPr>
      <w:r>
        <w:rPr>
          <w:bCs/>
          <w:b/>
        </w:rPr>
        <w:t xml:space="preserve">Delisting</w:t>
      </w:r>
      <w:r>
        <w:t xml:space="preserve"> </w:t>
      </w:r>
      <w:r>
        <w:t xml:space="preserve">— an asset falling to Category C/D is removed from the Qualified Cryptocurrency Registry (Chapter 6, §6.5.1), terminating mutual recognition.</w:t>
      </w:r>
    </w:p>
    <w:p>
      <w:pPr>
        <w:pStyle w:val="FirstParagraph"/>
      </w:pPr>
      <w:r>
        <w:rPr>
          <w:bCs/>
          <w:b/>
        </w:rPr>
        <w:t xml:space="preserve">Consequences for holders.</w:t>
      </w:r>
      <w:r>
        <w:t xml:space="preserve"> </w:t>
      </w:r>
      <w:r>
        <w:t xml:space="preserve">Institutions holding a downgraded asset receive a defined wind-down window proportioned to market liquidity (avoiding fire-sale harm, itself a</w:t>
      </w:r>
      <w:r>
        <w:t xml:space="preserve"> </w:t>
      </w:r>
      <w:r>
        <w:rPr>
          <w:iCs/>
          <w:i/>
        </w:rPr>
        <w:t xml:space="preserve">maṣlaḥa</w:t>
      </w:r>
      <w:r>
        <w:t xml:space="preserve"> </w:t>
      </w:r>
      <w:r>
        <w:t xml:space="preserve">consideration), and any returns accrued while the asset was non-compliant are subject to the purification (</w:t>
      </w:r>
      <w:r>
        <w:rPr>
          <w:iCs/>
          <w:i/>
        </w:rPr>
        <w:t xml:space="preserve">taṭhīr</w:t>
      </w:r>
      <w:r>
        <w:t xml:space="preserve">) obligation — the quantified disposal of impermissible income to charity — using the purification figures produced by the screening pipeline. Enforcement of the classification thus reaches through to the balance sheet, closing the loop between the score and the institution’s actual Shariah exposure, and dovetailing with the inter-regulator enforcement ladder of Chapter 6 (§6.5.4).</w:t>
      </w:r>
    </w:p>
    <w:bookmarkEnd w:id="328"/>
    <w:bookmarkEnd w:id="329"/>
    <w:bookmarkStart w:id="330" w:name="conclusion-1"/>
    <w:p>
      <w:pPr>
        <w:pStyle w:val="Heading2"/>
      </w:pPr>
      <w:r>
        <w:t xml:space="preserve">5.9 Conclusion</w:t>
      </w:r>
    </w:p>
    <w:p>
      <w:pPr>
        <w:pStyle w:val="FirstParagraph"/>
      </w:pPr>
      <w:r>
        <w:t xml:space="preserve">The unified classification framework synthesizes fragmented jurisprudential positions and regulatory approaches into coherent, actionable structure. By evaluating cryptocurrencies across five dimensions—asset backing, value stability, productive utility, governance, and regulatory recognition—the framework accommodates legitimate jurisdictional variation while establishing common ground for assessment.</w:t>
      </w:r>
    </w:p>
    <w:p>
      <w:pPr>
        <w:pStyle w:val="BodyText"/>
      </w:pPr>
      <w:r>
        <w:t xml:space="preserve">The framework demonstrates that cryptocurrency compliance with Islamic law is not binary but exists along continuum of categories reflecting different degrees of alignment with Maqasid Shariah principles. Stablecoins and asset-backed digital assets represent genuine Islamic finance innovation, while pure cryptocurrencies remain problematic until fundamental architectural changes occur.</w:t>
      </w:r>
    </w:p>
    <w:p>
      <w:pPr>
        <w:pStyle w:val="BodyText"/>
      </w:pPr>
      <w:r>
        <w:t xml:space="preserve">This classification framework provides pathway toward regulatory harmonization across Islamic jurisdictions while enabling cryptocurrency projects to systematically improve Islamic compliance. Future research should explore optimal dimension weighting, temporal validation across market cycles, and integration with emerging Islamic digital asset innovations.</w:t>
      </w:r>
    </w:p>
    <w:bookmarkEnd w:id="330"/>
    <w:bookmarkEnd w:id="3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1"/>
  </w:num>
  <w:num w:numId="1074">
    <w:abstractNumId w:val="991"/>
  </w:num>
  <w:num w:numId="1075">
    <w:abstractNumId w:val="991"/>
  </w:num>
  <w:num w:numId="10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1"/>
  </w:num>
  <w:num w:numId="1078">
    <w:abstractNumId w:val="991"/>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2026-07-29T16:36:44Z</dcterms:created>
  <dcterms:modified xsi:type="dcterms:W3CDTF">2026-07-29T16:36:44Z</dcterms:modified>
</cp:coreProperties>
</file>

<file path=docProps/custom.xml><?xml version="1.0" encoding="utf-8"?>
<Properties xmlns="http://schemas.openxmlformats.org/officeDocument/2006/custom-properties" xmlns:vt="http://schemas.openxmlformats.org/officeDocument/2006/docPropsVTypes"/>
</file>