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KEBIJAKAN MUTU STEI FITRAH INSANI</w:t>
      </w:r>
    </w:p>
    <w:p>
      <w:pPr>
        <w:spacing w:after="160"/>
        <w:jc w:val="center"/>
      </w:pPr>
      <w:r>
        <w:rPr>
          <w:color w:val="555555"/>
          <w:sz w:val="18"/>
        </w:rPr>
        <w:t>Kode: F-LPM-01-04   |   Jenis: Arsip</w:t>
      </w:r>
    </w:p>
    <w:p>
      <w:pPr>
        <w:pBdr>
          <w:bottom w:val="single" w:sz="12" w:space="1" w:color="00695C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Nomor Dokumen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SPMI-KM-STEI-FI-001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Versi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Edisi _____  |  Tahun 20_____</w:t>
            </w:r>
          </w:p>
        </w:tc>
      </w:tr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Ditetapkan oleh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STEI Fitrah Insani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Berlaku mulai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p>
      <w:pPr>
        <w:spacing w:after="100"/>
        <w:jc w:val="center"/>
      </w:pPr>
      <w:r>
        <w:rPr>
          <w:b/>
          <w:i w:val="0"/>
          <w:color w:val="000000"/>
          <w:sz w:val="20"/>
        </w:rPr>
        <w:t>KEBIJAKAN MUTU</w:t>
      </w: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STEI FITRAH INSANI</w:t>
      </w:r>
    </w:p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STEI Fitrah Insani berkomitmen menyelenggarakan pendidikan tinggi ekonomi Islam yang berkualitas, bermutu, dan berdaya saing, dengan menjunjung tinggi nilai-nilai keislaman, keilmuan, dan kewirausahaan, melalui penerapan Sistem Penjaminan Mutu Internal (SPMI) yang konsisten dan berkesinambungan dalam kerangka siklus PPEPP (Penetapan, Pelaksanaan, Evaluasi, Pengendalian, dan Peningkatan Standar).</w:t>
      </w:r>
    </w:p>
    <w:p>
      <w:pPr>
        <w:spacing w:before="120" w:after="60"/>
      </w:pPr>
      <w:r>
        <w:rPr>
          <w:b/>
          <w:color w:val="004D40"/>
          <w:sz w:val="22"/>
        </w:rPr>
        <w:t>KOMITMEN MUTU: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924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Pernyataan Komitmen Mutu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24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Menyelenggarakan pendidikan yang sesuai SN-Dikti dan terintegrasi dengan nilai-nilai Islam.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92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Memastikan seluruh proses akademik terdokumentasi, terpantau, dan dapat dipertanggungjawabkan.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24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Meningkatkan kualitas SDM dosen dan staf secara berkelanjutan.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92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Mempersiapkan lulusan yang kompeten, berintegritas, dan siap berkontribusi pada perekonomian umat.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924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Melaksanakan penelitian dan PKM yang relevan dan berdampak bagi masyarakat.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92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Menjalin kerjasama strategis dengan industri, lembaga keuangan syariah, dan perguruan tinggi mitra.</w:t>
            </w:r>
          </w:p>
        </w:tc>
      </w:tr>
    </w:tbl>
    <w:p/>
    <w:p>
      <w:pPr>
        <w:spacing w:before="120" w:after="60"/>
      </w:pPr>
      <w:r>
        <w:rPr>
          <w:b/>
          <w:color w:val="004D40"/>
          <w:sz w:val="22"/>
        </w:rPr>
        <w:t>SIKLUS PPEPP STEI FITRAH INSANI: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41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Siklus</w:t>
            </w:r>
          </w:p>
        </w:tc>
        <w:tc>
          <w:tcPr>
            <w:tcW w:type="dxa" w:w="198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Penanggung Jawab</w:t>
            </w:r>
          </w:p>
        </w:tc>
        <w:tc>
          <w:tcPr>
            <w:tcW w:type="dxa" w:w="2268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Frekuensi</w:t>
            </w:r>
          </w:p>
        </w:tc>
        <w:tc>
          <w:tcPr>
            <w:tcW w:type="dxa" w:w="3969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Instrumen</w:t>
            </w:r>
          </w:p>
        </w:tc>
      </w:tr>
      <w:tr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Penetapan (P1)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LPM + Ketua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Setiap 4 tahun / saat ada perubahan regulasi</w:t>
            </w:r>
          </w:p>
        </w:tc>
        <w:tc>
          <w:tcPr>
            <w:tcW w:type="dxa" w:w="3969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Dokumen Standar SPMI (F-LPM-01-01)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Pelaksanaan (P2)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Semua unit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Setiap semester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SOP, RPS, Laporan Kegiatan</w:t>
            </w:r>
          </w:p>
        </w:tc>
      </w:tr>
      <w:tr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Evaluasi (E)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LPM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Setiap semester (AMI)</w:t>
            </w:r>
          </w:p>
        </w:tc>
        <w:tc>
          <w:tcPr>
            <w:tcW w:type="dxa" w:w="3969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Instrumen AMI (F-LPM-04-01)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Pengendalian (P3)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LPM + Pimpinan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Setiap semester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CAP, Tindak Lanjut AMI</w:t>
            </w:r>
          </w:p>
        </w:tc>
      </w:tr>
      <w:tr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Peningkatan (P4)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LPM + Ketua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Tahunan (RTM)</w:t>
            </w:r>
          </w:p>
        </w:tc>
        <w:tc>
          <w:tcPr>
            <w:tcW w:type="dxa" w:w="3969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Notulen RTM, Sasaran Mutu Baru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Kepala LPM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Ketua STEI Fitrah Insani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F-LPM-01-04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F-LPM-01-04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