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DAN KETENTUAN PENELITIAN INTERNAL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F-LPPM-01-09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atas usul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KETENTUAN UMUM PENELITIAN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internal didanai STEI FI melalui LPPM; setiap dosen tetap berhak mengajukan 1 proposal per TA.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penelitian adalah dosen tetap ber-NIDN; boleh berkolaborasi dengan dosen lain atau mahasiswa.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dilibatkan dalam penelitian wajib dicantumkan sebagai anggota.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dicairkan dalam 2 termin: 60% saat SK terbit, 40% saat laporan kemajuan disetujui.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wajib selesai dan laporan akhir diserahkan sebelum akhir TA.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wajib: minimal 1 artikel tersubmit ke jurnal SINTA 3–5 atau prosiding nasional terakreditasi.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yang tidak memenuhi kewajiban luaran tidak dapat mengajukan proposal TA berikutnya.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KATEGORI DAN BESARAN DANA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Fokus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Maksimum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 Minimal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Pemula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baru / pertama kali meneliti; eksplorasi topik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artikel prosiding / SINTA 5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Mandiri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berpengalaman; penelitian individual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artikel SINTA 3–4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Kolaborasi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≥ 2 dosen; lintas Prodi atau lintas institusi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artikel SINTA 2–3 atau buku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Strategis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Topik sesuai RIP; potensial HKI atau kebijakan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artikel SINTA 1–2 atau HKI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ETIKA DAN INTEGRITAS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Prinsip Etika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dilakukan dengan jujur; data tidak boleh dimanipulasi atau difabrikasi.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Plagiarisme dilarang keras; similarity laporan akhir &lt; 20%.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 / responden harus mendapat informed consent sebelum terlibat dalam penelitian.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Konflik kepentingan wajib diungkapkan kepada LPPM sebelum penelitian dimulai.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