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RAPB FINAL YANG DIAJUKAN KE SENAT</w:t>
      </w:r>
    </w:p>
    <w:p>
      <w:pPr>
        <w:spacing w:after="160"/>
        <w:jc w:val="center"/>
      </w:pPr>
      <w:r>
        <w:rPr>
          <w:color w:val="555555"/>
          <w:sz w:val="18"/>
        </w:rPr>
        <w:t>Kode: F-WK2-01-05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Diajukan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 kepada Senat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Rapat Senat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RENCANA ANGGARAN PENDAPATAN DAN BELANJA (RAPB)</w:t>
      </w:r>
    </w:p>
    <w:p>
      <w:pPr>
        <w:spacing w:before="120" w:after="60"/>
      </w:pPr>
      <w:r>
        <w:rPr>
          <w:b/>
          <w:color w:val="0D47A1"/>
          <w:sz w:val="22"/>
        </w:rPr>
        <w:t>STEI FITRAH INSANI TAHUN ANGGARAN 20_____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PENDAPATAN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SPP Mahasiswa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PMB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Hibah Yayasan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PENDAPATAN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PENGELUARAN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Dianggarkan (Rp)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 (Gaji, Tunjangan, Honorarium)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Akademik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Kemahasiswaan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&amp; PKM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Penjaminan Mutu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Sarpras &amp; Pemeliharaan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 &amp; Digital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Cadangan (5%)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PENGELUARAN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