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MAHASISWA YANG BELUM MENGISI KRS</w:t>
      </w:r>
    </w:p>
    <w:p>
      <w:pPr>
        <w:spacing w:after="160"/>
        <w:jc w:val="center"/>
      </w:pPr>
      <w:r>
        <w:rPr>
          <w:color w:val="555555"/>
          <w:sz w:val="18"/>
        </w:rPr>
        <w:t>Kode: F-PRODI-05-03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H+3 setelah batas periode KRS =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DPA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(jika diketahui)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Keuangan</w:t>
              <w:br/>
              <w:t>☐ Tidak aktif</w:t>
              <w:br/>
              <w:t>☐ Kendala teknis</w:t>
              <w:br/>
              <w:t>☐ Tidak diketahui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F-PRODI-05-03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