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F9A825" w:sz="12"/>
        </w:pBdr>
        <w:shd w:fill="1B5E20" w:val="clear"/>
        <w:spacing w:after="60" w:before="0"/>
        <w:jc w:val="center"/>
      </w:pPr>
      <w:r>
        <w:rPr>
          <w:rFonts w:ascii="Arial" w:cs="Arial" w:eastAsia="Arial" w:hAnsi="Arial"/>
          <w:b/>
          <w:bCs/>
          <w:color w:val="FFFFFF"/>
          <w:sz w:val="26"/>
          <w:szCs w:val="26"/>
        </w:rPr>
        <w:t xml:space="preserve">SEKOLAH TINGGI EKONOMI ISLAM (STEI) FITRAH INSANI</w:t>
      </w:r>
    </w:p>
    <w:p>
      <w:pPr>
        <w:shd w:fill="2E7D32" w:val="clear"/>
        <w:spacing w:after="0" w:before="0"/>
        <w:jc w:val="center"/>
      </w:pPr>
      <w:r>
        <w:rPr>
          <w:rFonts w:ascii="Arial" w:cs="Arial" w:eastAsia="Arial" w:hAnsi="Arial"/>
          <w:color w:val="FFF8E1"/>
          <w:sz w:val="22"/>
          <w:szCs w:val="22"/>
        </w:rPr>
        <w:t xml:space="preserve">Program Studi Ekonomi Syariah &amp; Perbankan Syariah</w:t>
      </w:r>
    </w:p>
    <w:p>
      <w:pPr>
        <w:pBdr>
          <w:bottom w:val="single" w:color="F9A825" w:sz="12"/>
        </w:pBdr>
        <w:shd w:fill="2E7D32" w:val="clear"/>
        <w:spacing w:after="0" w:before="0"/>
        <w:jc w:val="center"/>
      </w:pPr>
      <w:r>
        <w:rPr>
          <w:rFonts w:ascii="Arial" w:cs="Arial" w:eastAsia="Arial" w:hAnsi="Arial"/>
          <w:color w:val="FFF8E1"/>
          <w:sz w:val="18"/>
          <w:szCs w:val="18"/>
        </w:rPr>
        <w:t xml:space="preserve">Jl. Raya Gadobangkong No. 91, Kab. Bandung Barat, Jawa Barat</w:t>
      </w:r>
    </w:p>
    <w:p>
      <w:pPr>
        <w:spacing w:after="0" w:before="160"/>
      </w:pPr>
    </w:p>
    <w:p>
      <w:pPr>
        <w:spacing w:after="60" w:before="60"/>
        <w:jc w:val="center"/>
      </w:pPr>
      <w:r>
        <w:rPr>
          <w:rFonts w:ascii="Arial" w:cs="Arial" w:eastAsia="Arial" w:hAnsi="Arial"/>
          <w:b/>
          <w:bCs/>
          <w:color w:val="1B5E20"/>
          <w:sz w:val="36"/>
          <w:szCs w:val="36"/>
        </w:rPr>
        <w:t xml:space="preserve">SOAL UJIAN AKHIR SEMESTER (UAS)</w:t>
      </w:r>
    </w:p>
    <w:p>
      <w:pPr>
        <w:spacing w:after="60" w:before="0"/>
        <w:jc w:val="center"/>
      </w:pPr>
      <w:r>
        <w:rPr>
          <w:rFonts w:ascii="Arial" w:cs="Arial" w:eastAsia="Arial" w:hAnsi="Arial"/>
          <w:b/>
          <w:bCs/>
          <w:color w:val="2E7D32"/>
          <w:sz w:val="28"/>
          <w:szCs w:val="28"/>
        </w:rPr>
        <w:t xml:space="preserve">Mata Kuliah: Ekonomi Internasional</w:t>
      </w:r>
    </w:p>
    <w:p>
      <w:pPr>
        <w:pBdr>
          <w:bottom w:val="single" w:color="F9A825" w:sz="8"/>
        </w:pBdr>
        <w:spacing w:after="200" w:before="0"/>
        <w:jc w:val="center"/>
      </w:pPr>
      <w:r>
        <w:rPr>
          <w:rFonts w:ascii="Arial" w:cs="Arial" w:eastAsia="Arial" w:hAnsi="Arial"/>
          <w:color w:val="424242"/>
          <w:sz w:val="22"/>
          <w:szCs w:val="22"/>
        </w:rPr>
        <w:t xml:space="preserve">Tahun Akademik 2025/2026 | Semester Genap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1B5E20"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bCs/>
                <w:color w:val="FFFFFF"/>
                <w:sz w:val="21"/>
                <w:szCs w:val="21"/>
              </w:rPr>
              <w:t xml:space="preserve">INFORMASI UJIAN</w:t>
            </w:r>
          </w:p>
        </w:tc>
        <w:tc>
          <w:tcPr>
            <w:tcW w:type="dxa" w:w="6560"/>
            <w:tcBorders>
              <w:top w:val="single" w:color="CCCCCC" w:sz="6"/>
              <w:left w:val="single" w:color="CCCCCC" w:sz="6"/>
              <w:bottom w:val="single" w:color="CCCCCC" w:sz="6"/>
              <w:right w:val="single" w:color="CCCCCC" w:sz="6"/>
            </w:tcBorders>
            <w:shd w:fill="2E7D32"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bCs/>
                <w:color w:val="FFFFFF"/>
                <w:sz w:val="21"/>
                <w:szCs w:val="21"/>
              </w:rPr>
              <w:t xml:space="preserve"/>
            </w:r>
          </w:p>
        </w:tc>
      </w:tr>
      <w:tr>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bCs/>
                <w:color w:val="1B5E20"/>
                <w:sz w:val="21"/>
                <w:szCs w:val="21"/>
              </w:rPr>
              <w:t xml:space="preserve">Kode Mata Kuliah</w:t>
            </w:r>
          </w:p>
        </w:tc>
        <w:tc>
          <w:tcPr>
            <w:tcW w:type="dxa" w:w="6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val="false"/>
                <w:bCs w:val="false"/>
                <w:color w:val="212121"/>
                <w:sz w:val="21"/>
                <w:szCs w:val="21"/>
              </w:rPr>
              <w:t xml:space="preserve">MKI 11310 / MKI 12310</w:t>
            </w:r>
          </w:p>
        </w:tc>
      </w:tr>
      <w:tr>
        <w:tc>
          <w:tcPr>
            <w:tcW w:type="dxa" w:w="2800"/>
            <w:tcBorders>
              <w:top w:val="single" w:color="CCCCCC" w:sz="6"/>
              <w:left w:val="single" w:color="CCCCCC" w:sz="6"/>
              <w:bottom w:val="single" w:color="CCCCCC" w:sz="6"/>
              <w:right w:val="single" w:color="CCCCCC" w:sz="6"/>
            </w:tcBorders>
            <w:shd w:fill="E8F5E9"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bCs/>
                <w:color w:val="1B5E20"/>
                <w:sz w:val="21"/>
                <w:szCs w:val="21"/>
              </w:rPr>
              <w:t xml:space="preserve">Semester / TA</w:t>
            </w:r>
          </w:p>
        </w:tc>
        <w:tc>
          <w:tcPr>
            <w:tcW w:type="dxa" w:w="656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val="false"/>
                <w:bCs w:val="false"/>
                <w:color w:val="212121"/>
                <w:sz w:val="21"/>
                <w:szCs w:val="21"/>
              </w:rPr>
              <w:t xml:space="preserve">VI (Enam) / 2025-2026</w:t>
            </w:r>
          </w:p>
        </w:tc>
      </w:tr>
      <w:tr>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bCs/>
                <w:color w:val="1B5E20"/>
                <w:sz w:val="21"/>
                <w:szCs w:val="21"/>
              </w:rPr>
              <w:t xml:space="preserve">Bobot SKS</w:t>
            </w:r>
          </w:p>
        </w:tc>
        <w:tc>
          <w:tcPr>
            <w:tcW w:type="dxa" w:w="6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val="false"/>
                <w:bCs w:val="false"/>
                <w:color w:val="212121"/>
                <w:sz w:val="21"/>
                <w:szCs w:val="21"/>
              </w:rPr>
              <w:t xml:space="preserve">2 SKS</w:t>
            </w:r>
          </w:p>
        </w:tc>
      </w:tr>
      <w:tr>
        <w:tc>
          <w:tcPr>
            <w:tcW w:type="dxa" w:w="2800"/>
            <w:tcBorders>
              <w:top w:val="single" w:color="CCCCCC" w:sz="6"/>
              <w:left w:val="single" w:color="CCCCCC" w:sz="6"/>
              <w:bottom w:val="single" w:color="CCCCCC" w:sz="6"/>
              <w:right w:val="single" w:color="CCCCCC" w:sz="6"/>
            </w:tcBorders>
            <w:shd w:fill="E8F5E9"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bCs/>
                <w:color w:val="1B5E20"/>
                <w:sz w:val="21"/>
                <w:szCs w:val="21"/>
              </w:rPr>
              <w:t xml:space="preserve">Waktu Ujian</w:t>
            </w:r>
          </w:p>
        </w:tc>
        <w:tc>
          <w:tcPr>
            <w:tcW w:type="dxa" w:w="656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val="false"/>
                <w:bCs w:val="false"/>
                <w:color w:val="212121"/>
                <w:sz w:val="21"/>
                <w:szCs w:val="21"/>
              </w:rPr>
              <w:t xml:space="preserve">90 Menit</w:t>
            </w:r>
          </w:p>
        </w:tc>
      </w:tr>
      <w:tr>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bCs/>
                <w:color w:val="1B5E20"/>
                <w:sz w:val="21"/>
                <w:szCs w:val="21"/>
              </w:rPr>
              <w:t xml:space="preserve">Sifat Ujian</w:t>
            </w:r>
          </w:p>
        </w:tc>
        <w:tc>
          <w:tcPr>
            <w:tcW w:type="dxa" w:w="6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val="false"/>
                <w:bCs w:val="false"/>
                <w:color w:val="212121"/>
                <w:sz w:val="21"/>
                <w:szCs w:val="21"/>
              </w:rPr>
              <w:t xml:space="preserve">Tutup Buku (Closed Book)</w:t>
            </w:r>
          </w:p>
        </w:tc>
      </w:tr>
      <w:tr>
        <w:tc>
          <w:tcPr>
            <w:tcW w:type="dxa" w:w="2800"/>
            <w:tcBorders>
              <w:top w:val="single" w:color="CCCCCC" w:sz="6"/>
              <w:left w:val="single" w:color="CCCCCC" w:sz="6"/>
              <w:bottom w:val="single" w:color="CCCCCC" w:sz="6"/>
              <w:right w:val="single" w:color="CCCCCC" w:sz="6"/>
            </w:tcBorders>
            <w:shd w:fill="E8F5E9"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bCs/>
                <w:color w:val="1B5E20"/>
                <w:sz w:val="21"/>
                <w:szCs w:val="21"/>
              </w:rPr>
              <w:t xml:space="preserve">Dosen Pengampu</w:t>
            </w:r>
          </w:p>
        </w:tc>
        <w:tc>
          <w:tcPr>
            <w:tcW w:type="dxa" w:w="656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val="false"/>
                <w:bCs w:val="false"/>
                <w:color w:val="212121"/>
                <w:sz w:val="21"/>
                <w:szCs w:val="21"/>
              </w:rPr>
              <w:t xml:space="preserve">Izzuddin Edi Siswanto, Lc., M.A.</w:t>
            </w:r>
          </w:p>
        </w:tc>
      </w:tr>
      <w:tr>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bCs/>
                <w:color w:val="1B5E20"/>
                <w:sz w:val="21"/>
                <w:szCs w:val="21"/>
              </w:rPr>
              <w:t xml:space="preserve">Program Studi</w:t>
            </w:r>
          </w:p>
        </w:tc>
        <w:tc>
          <w:tcPr>
            <w:tcW w:type="dxa" w:w="6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b w:val="false"/>
                <w:bCs w:val="false"/>
                <w:color w:val="212121"/>
                <w:sz w:val="21"/>
                <w:szCs w:val="21"/>
              </w:rPr>
              <w:t xml:space="preserve">Ekonomi Syariah &amp; Perbankan Syariah</w:t>
            </w:r>
          </w:p>
        </w:tc>
      </w:tr>
    </w:tbl>
    <w:p>
      <w:pPr>
        <w:spacing w:after="0" w:before="120"/>
      </w:pPr>
    </w:p>
    <w:p>
      <w:pPr>
        <w:pBdr>
          <w:left w:val="single" w:color="F9A825" w:sz="18"/>
        </w:pBdr>
        <w:shd w:fill="FFF8E1" w:val="clear"/>
        <w:spacing w:after="40" w:before="80"/>
        <w:ind w:left="120"/>
      </w:pPr>
      <w:r>
        <w:rPr>
          <w:rFonts w:ascii="Arial" w:cs="Arial" w:eastAsia="Arial" w:hAnsi="Arial"/>
          <w:b/>
          <w:bCs/>
          <w:color w:val="1B5E20"/>
          <w:sz w:val="22"/>
          <w:szCs w:val="22"/>
        </w:rPr>
        <w:t xml:space="preserve">IDENTITAS MAHASISWA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360"/>
      </w:tblGrid>
      <w:tr>
        <w:tc>
          <w:tcPr>
            <w:tcW w:type="dxa" w:w="2800"/>
            <w:tcBorders>
              <w:top w:val="none" w:color="FFFFFF" w:sz="0"/>
              <w:left w:val="none" w:color="FFFFFF" w:sz="0"/>
              <w:bottom w:val="single" w:color="DDDDDD" w:sz="6"/>
              <w:right w:val="none" w:color="FFFFFF" w:sz="0"/>
            </w:tcBorders>
            <w:tcMar>
              <w:top w:type="dxa" w:w="60"/>
              <w:left w:type="dxa" w:w="0"/>
              <w:bottom w:type="dxa" w:w="60"/>
              <w:right w:type="dxa" w:w="60"/>
            </w:tcMar>
          </w:tcPr>
          <w:p>
            <w:pPr>
              <w:spacing w:after="80" w:before="80" w:line="276"/>
              <w:jc w:val="left"/>
            </w:pPr>
            <w:r>
              <w:rPr>
                <w:rFonts w:ascii="Times New Roman" w:cs="Times New Roman" w:eastAsia="Times New Roman" w:hAnsi="Times New Roman"/>
                <w:color w:val="212121"/>
                <w:sz w:val="21"/>
                <w:szCs w:val="21"/>
              </w:rPr>
              <w:t xml:space="preserve">Nama Lengkap</w:t>
            </w:r>
          </w:p>
        </w:tc>
        <w:tc>
          <w:tcPr>
            <w:tcW w:type="dxa" w:w="200"/>
            <w:tcBorders>
              <w:top w:val="none" w:color="FFFFFF" w:sz="0"/>
              <w:left w:val="none" w:color="FFFFFF" w:sz="0"/>
              <w:bottom w:val="single" w:color="DDDDDD" w:sz="6"/>
              <w:right w:val="none" w:color="FFFFFF" w:sz="0"/>
            </w:tcBorders>
            <w:tcMar>
              <w:top w:type="dxa" w:w="60"/>
              <w:left w:type="dxa" w:w="0"/>
              <w:bottom w:type="dxa" w:w="60"/>
              <w:right w:type="dxa" w:w="0"/>
            </w:tcMar>
          </w:tcPr>
          <w:p>
            <w:pPr>
              <w:spacing w:after="80" w:before="80" w:line="276"/>
              <w:jc w:val="left"/>
            </w:pPr>
            <w:r>
              <w:rPr>
                <w:rFonts w:ascii="Times New Roman" w:cs="Times New Roman" w:eastAsia="Times New Roman" w:hAnsi="Times New Roman"/>
                <w:color w:val="212121"/>
                <w:sz w:val="21"/>
                <w:szCs w:val="21"/>
              </w:rPr>
              <w:t xml:space="preserve">:</w:t>
            </w:r>
          </w:p>
        </w:tc>
        <w:tc>
          <w:tcPr>
            <w:tcW w:type="dxa" w:w="6360"/>
            <w:tcBorders>
              <w:top w:val="none" w:color="FFFFFF" w:sz="0"/>
              <w:left w:val="none" w:color="FFFFFF" w:sz="0"/>
              <w:bottom w:val="single" w:color="DDDDDD" w:sz="6"/>
              <w:right w:val="none" w:color="FFFFFF" w:sz="0"/>
            </w:tcBorders>
            <w:tcMar>
              <w:top w:type="dxa" w:w="60"/>
              <w:left w:type="dxa" w:w="60"/>
              <w:bottom w:type="dxa" w:w="60"/>
              <w:right w:type="dxa" w:w="0"/>
            </w:tcMar>
          </w:tcPr>
          <w:p>
            <w:pPr>
              <w:spacing w:after="80" w:before="80" w:line="276"/>
              <w:jc w:val="left"/>
            </w:pPr>
            <w:r>
              <w:rPr>
                <w:rFonts w:ascii="Times New Roman" w:cs="Times New Roman" w:eastAsia="Times New Roman" w:hAnsi="Times New Roman"/>
                <w:color w:val="212121"/>
                <w:sz w:val="21"/>
                <w:szCs w:val="21"/>
              </w:rPr>
              <w:t xml:space="preserve"/>
            </w:r>
          </w:p>
        </w:tc>
      </w:tr>
      <w:tr>
        <w:tc>
          <w:tcPr>
            <w:tcW w:type="dxa" w:w="2800"/>
            <w:tcBorders>
              <w:top w:val="none" w:color="FFFFFF" w:sz="0"/>
              <w:left w:val="none" w:color="FFFFFF" w:sz="0"/>
              <w:bottom w:val="single" w:color="DDDDDD" w:sz="6"/>
              <w:right w:val="none" w:color="FFFFFF" w:sz="0"/>
            </w:tcBorders>
            <w:tcMar>
              <w:top w:type="dxa" w:w="60"/>
              <w:left w:type="dxa" w:w="0"/>
              <w:bottom w:type="dxa" w:w="60"/>
              <w:right w:type="dxa" w:w="60"/>
            </w:tcMar>
          </w:tcPr>
          <w:p>
            <w:pPr>
              <w:spacing w:after="80" w:before="80" w:line="276"/>
              <w:jc w:val="left"/>
            </w:pPr>
            <w:r>
              <w:rPr>
                <w:rFonts w:ascii="Times New Roman" w:cs="Times New Roman" w:eastAsia="Times New Roman" w:hAnsi="Times New Roman"/>
                <w:color w:val="212121"/>
                <w:sz w:val="21"/>
                <w:szCs w:val="21"/>
              </w:rPr>
              <w:t xml:space="preserve">NIM</w:t>
            </w:r>
          </w:p>
        </w:tc>
        <w:tc>
          <w:tcPr>
            <w:tcW w:type="dxa" w:w="200"/>
            <w:tcBorders>
              <w:top w:val="none" w:color="FFFFFF" w:sz="0"/>
              <w:left w:val="none" w:color="FFFFFF" w:sz="0"/>
              <w:bottom w:val="single" w:color="DDDDDD" w:sz="6"/>
              <w:right w:val="none" w:color="FFFFFF" w:sz="0"/>
            </w:tcBorders>
            <w:tcMar>
              <w:top w:type="dxa" w:w="60"/>
              <w:left w:type="dxa" w:w="0"/>
              <w:bottom w:type="dxa" w:w="60"/>
              <w:right w:type="dxa" w:w="0"/>
            </w:tcMar>
          </w:tcPr>
          <w:p>
            <w:pPr>
              <w:spacing w:after="80" w:before="80" w:line="276"/>
              <w:jc w:val="left"/>
            </w:pPr>
            <w:r>
              <w:rPr>
                <w:rFonts w:ascii="Times New Roman" w:cs="Times New Roman" w:eastAsia="Times New Roman" w:hAnsi="Times New Roman"/>
                <w:color w:val="212121"/>
                <w:sz w:val="21"/>
                <w:szCs w:val="21"/>
              </w:rPr>
              <w:t xml:space="preserve">:</w:t>
            </w:r>
          </w:p>
        </w:tc>
        <w:tc>
          <w:tcPr>
            <w:tcW w:type="dxa" w:w="6360"/>
            <w:tcBorders>
              <w:top w:val="none" w:color="FFFFFF" w:sz="0"/>
              <w:left w:val="none" w:color="FFFFFF" w:sz="0"/>
              <w:bottom w:val="single" w:color="DDDDDD" w:sz="6"/>
              <w:right w:val="none" w:color="FFFFFF" w:sz="0"/>
            </w:tcBorders>
            <w:tcMar>
              <w:top w:type="dxa" w:w="60"/>
              <w:left w:type="dxa" w:w="60"/>
              <w:bottom w:type="dxa" w:w="60"/>
              <w:right w:type="dxa" w:w="0"/>
            </w:tcMar>
          </w:tcPr>
          <w:p>
            <w:pPr>
              <w:spacing w:after="80" w:before="80" w:line="276"/>
              <w:jc w:val="left"/>
            </w:pPr>
            <w:r>
              <w:rPr>
                <w:rFonts w:ascii="Times New Roman" w:cs="Times New Roman" w:eastAsia="Times New Roman" w:hAnsi="Times New Roman"/>
                <w:color w:val="212121"/>
                <w:sz w:val="21"/>
                <w:szCs w:val="21"/>
              </w:rPr>
              <w:t xml:space="preserve"/>
            </w:r>
          </w:p>
        </w:tc>
      </w:tr>
      <w:tr>
        <w:tc>
          <w:tcPr>
            <w:tcW w:type="dxa" w:w="2800"/>
            <w:tcBorders>
              <w:top w:val="none" w:color="FFFFFF" w:sz="0"/>
              <w:left w:val="none" w:color="FFFFFF" w:sz="0"/>
              <w:bottom w:val="single" w:color="DDDDDD" w:sz="6"/>
              <w:right w:val="none" w:color="FFFFFF" w:sz="0"/>
            </w:tcBorders>
            <w:tcMar>
              <w:top w:type="dxa" w:w="60"/>
              <w:left w:type="dxa" w:w="0"/>
              <w:bottom w:type="dxa" w:w="60"/>
              <w:right w:type="dxa" w:w="60"/>
            </w:tcMar>
          </w:tcPr>
          <w:p>
            <w:pPr>
              <w:spacing w:after="80" w:before="80" w:line="276"/>
              <w:jc w:val="left"/>
            </w:pPr>
            <w:r>
              <w:rPr>
                <w:rFonts w:ascii="Times New Roman" w:cs="Times New Roman" w:eastAsia="Times New Roman" w:hAnsi="Times New Roman"/>
                <w:color w:val="212121"/>
                <w:sz w:val="21"/>
                <w:szCs w:val="21"/>
              </w:rPr>
              <w:t xml:space="preserve">Kelas / Semester</w:t>
            </w:r>
          </w:p>
        </w:tc>
        <w:tc>
          <w:tcPr>
            <w:tcW w:type="dxa" w:w="200"/>
            <w:tcBorders>
              <w:top w:val="none" w:color="FFFFFF" w:sz="0"/>
              <w:left w:val="none" w:color="FFFFFF" w:sz="0"/>
              <w:bottom w:val="single" w:color="DDDDDD" w:sz="6"/>
              <w:right w:val="none" w:color="FFFFFF" w:sz="0"/>
            </w:tcBorders>
            <w:tcMar>
              <w:top w:type="dxa" w:w="60"/>
              <w:left w:type="dxa" w:w="0"/>
              <w:bottom w:type="dxa" w:w="60"/>
              <w:right w:type="dxa" w:w="0"/>
            </w:tcMar>
          </w:tcPr>
          <w:p>
            <w:pPr>
              <w:spacing w:after="80" w:before="80" w:line="276"/>
              <w:jc w:val="left"/>
            </w:pPr>
            <w:r>
              <w:rPr>
                <w:rFonts w:ascii="Times New Roman" w:cs="Times New Roman" w:eastAsia="Times New Roman" w:hAnsi="Times New Roman"/>
                <w:color w:val="212121"/>
                <w:sz w:val="21"/>
                <w:szCs w:val="21"/>
              </w:rPr>
              <w:t xml:space="preserve">:</w:t>
            </w:r>
          </w:p>
        </w:tc>
        <w:tc>
          <w:tcPr>
            <w:tcW w:type="dxa" w:w="6360"/>
            <w:tcBorders>
              <w:top w:val="none" w:color="FFFFFF" w:sz="0"/>
              <w:left w:val="none" w:color="FFFFFF" w:sz="0"/>
              <w:bottom w:val="single" w:color="DDDDDD" w:sz="6"/>
              <w:right w:val="none" w:color="FFFFFF" w:sz="0"/>
            </w:tcBorders>
            <w:tcMar>
              <w:top w:type="dxa" w:w="60"/>
              <w:left w:type="dxa" w:w="60"/>
              <w:bottom w:type="dxa" w:w="60"/>
              <w:right w:type="dxa" w:w="0"/>
            </w:tcMar>
          </w:tcPr>
          <w:p>
            <w:pPr>
              <w:spacing w:after="80" w:before="80" w:line="276"/>
              <w:jc w:val="left"/>
            </w:pPr>
            <w:r>
              <w:rPr>
                <w:rFonts w:ascii="Times New Roman" w:cs="Times New Roman" w:eastAsia="Times New Roman" w:hAnsi="Times New Roman"/>
                <w:color w:val="212121"/>
                <w:sz w:val="21"/>
                <w:szCs w:val="21"/>
              </w:rPr>
              <w:t xml:space="preserve"/>
            </w:r>
          </w:p>
        </w:tc>
      </w:tr>
      <w:tr>
        <w:tc>
          <w:tcPr>
            <w:tcW w:type="dxa" w:w="2800"/>
            <w:tcBorders>
              <w:top w:val="none" w:color="FFFFFF" w:sz="0"/>
              <w:left w:val="none" w:color="FFFFFF" w:sz="0"/>
              <w:bottom w:val="single" w:color="DDDDDD" w:sz="6"/>
              <w:right w:val="none" w:color="FFFFFF" w:sz="0"/>
            </w:tcBorders>
            <w:tcMar>
              <w:top w:type="dxa" w:w="60"/>
              <w:left w:type="dxa" w:w="0"/>
              <w:bottom w:type="dxa" w:w="60"/>
              <w:right w:type="dxa" w:w="60"/>
            </w:tcMar>
          </w:tcPr>
          <w:p>
            <w:pPr>
              <w:spacing w:after="80" w:before="80" w:line="276"/>
              <w:jc w:val="left"/>
            </w:pPr>
            <w:r>
              <w:rPr>
                <w:rFonts w:ascii="Times New Roman" w:cs="Times New Roman" w:eastAsia="Times New Roman" w:hAnsi="Times New Roman"/>
                <w:color w:val="212121"/>
                <w:sz w:val="21"/>
                <w:szCs w:val="21"/>
              </w:rPr>
              <w:t xml:space="preserve">Tanggal Ujian</w:t>
            </w:r>
          </w:p>
        </w:tc>
        <w:tc>
          <w:tcPr>
            <w:tcW w:type="dxa" w:w="200"/>
            <w:tcBorders>
              <w:top w:val="none" w:color="FFFFFF" w:sz="0"/>
              <w:left w:val="none" w:color="FFFFFF" w:sz="0"/>
              <w:bottom w:val="single" w:color="DDDDDD" w:sz="6"/>
              <w:right w:val="none" w:color="FFFFFF" w:sz="0"/>
            </w:tcBorders>
            <w:tcMar>
              <w:top w:type="dxa" w:w="60"/>
              <w:left w:type="dxa" w:w="0"/>
              <w:bottom w:type="dxa" w:w="60"/>
              <w:right w:type="dxa" w:w="0"/>
            </w:tcMar>
          </w:tcPr>
          <w:p>
            <w:pPr>
              <w:spacing w:after="80" w:before="80" w:line="276"/>
              <w:jc w:val="left"/>
            </w:pPr>
            <w:r>
              <w:rPr>
                <w:rFonts w:ascii="Times New Roman" w:cs="Times New Roman" w:eastAsia="Times New Roman" w:hAnsi="Times New Roman"/>
                <w:color w:val="212121"/>
                <w:sz w:val="21"/>
                <w:szCs w:val="21"/>
              </w:rPr>
              <w:t xml:space="preserve">:</w:t>
            </w:r>
          </w:p>
        </w:tc>
        <w:tc>
          <w:tcPr>
            <w:tcW w:type="dxa" w:w="6360"/>
            <w:tcBorders>
              <w:top w:val="none" w:color="FFFFFF" w:sz="0"/>
              <w:left w:val="none" w:color="FFFFFF" w:sz="0"/>
              <w:bottom w:val="single" w:color="DDDDDD" w:sz="6"/>
              <w:right w:val="none" w:color="FFFFFF" w:sz="0"/>
            </w:tcBorders>
            <w:tcMar>
              <w:top w:type="dxa" w:w="60"/>
              <w:left w:type="dxa" w:w="60"/>
              <w:bottom w:type="dxa" w:w="60"/>
              <w:right w:type="dxa" w:w="0"/>
            </w:tcMar>
          </w:tcPr>
          <w:p>
            <w:pPr>
              <w:spacing w:after="80" w:before="80" w:line="276"/>
              <w:jc w:val="left"/>
            </w:pPr>
            <w:r>
              <w:rPr>
                <w:rFonts w:ascii="Times New Roman" w:cs="Times New Roman" w:eastAsia="Times New Roman" w:hAnsi="Times New Roman"/>
                <w:color w:val="212121"/>
                <w:sz w:val="21"/>
                <w:szCs w:val="21"/>
              </w:rPr>
              <w:t xml:space="preserve"/>
            </w:r>
          </w:p>
        </w:tc>
      </w:tr>
    </w:tbl>
    <w:p>
      <w:pPr>
        <w:spacing w:after="0" w:before="140"/>
      </w:pPr>
    </w:p>
    <w:p>
      <w:pPr>
        <w:pBdr>
          <w:left w:val="single" w:color="2E7D32" w:sz="18"/>
        </w:pBdr>
        <w:shd w:fill="E8F5E9" w:val="clear"/>
        <w:spacing w:after="60" w:before="80"/>
        <w:ind w:left="120"/>
      </w:pPr>
      <w:r>
        <w:rPr>
          <w:rFonts w:ascii="Arial" w:cs="Arial" w:eastAsia="Arial" w:hAnsi="Arial"/>
          <w:b/>
          <w:bCs/>
          <w:color w:val="1B5E20"/>
          <w:sz w:val="22"/>
          <w:szCs w:val="22"/>
        </w:rPr>
        <w:t xml:space="preserve">PETUNJUK PENGERJAAN</w:t>
      </w:r>
    </w:p>
    <w:p>
      <w:pPr>
        <w:spacing w:after="40" w:before="40"/>
        <w:ind w:left="360"/>
      </w:pPr>
      <w:r>
        <w:rPr>
          <w:rFonts w:ascii="Times New Roman" w:cs="Times New Roman" w:eastAsia="Times New Roman" w:hAnsi="Times New Roman"/>
          <w:color w:val="1B5E20"/>
          <w:sz w:val="20"/>
          <w:szCs w:val="20"/>
        </w:rPr>
        <w:t xml:space="preserve">Bismillahirrahmanirrahim. Kerjakan dengan jujur, karena integritas akademik adalah bagian dari amanah seorang muslim.</w:t>
      </w:r>
    </w:p>
    <w:p>
      <w:pPr>
        <w:spacing w:after="30" w:before="30"/>
        <w:ind w:left="480" w:hanging="280"/>
      </w:pPr>
      <w:r>
        <w:rPr>
          <w:rFonts w:ascii="Arial" w:cs="Arial" w:eastAsia="Arial" w:hAnsi="Arial"/>
          <w:b/>
          <w:bCs/>
          <w:color w:val="2E7D32"/>
          <w:sz w:val="20"/>
          <w:szCs w:val="20"/>
        </w:rPr>
        <w:t xml:space="preserve">1.	</w:t>
      </w:r>
      <w:r>
        <w:rPr>
          <w:rFonts w:ascii="Times New Roman" w:cs="Times New Roman" w:eastAsia="Times New Roman" w:hAnsi="Times New Roman"/>
          <w:color w:val="212121"/>
          <w:sz w:val="20"/>
          <w:szCs w:val="20"/>
        </w:rPr>
        <w:t xml:space="preserve">Bacalah setiap soal dengan teliti sebelum menjawab.</w:t>
      </w:r>
    </w:p>
    <w:p>
      <w:pPr>
        <w:spacing w:after="30" w:before="30"/>
        <w:ind w:left="480" w:hanging="280"/>
      </w:pPr>
      <w:r>
        <w:rPr>
          <w:rFonts w:ascii="Arial" w:cs="Arial" w:eastAsia="Arial" w:hAnsi="Arial"/>
          <w:b/>
          <w:bCs/>
          <w:color w:val="2E7D32"/>
          <w:sz w:val="20"/>
          <w:szCs w:val="20"/>
        </w:rPr>
        <w:t xml:space="preserve">2.	</w:t>
      </w:r>
      <w:r>
        <w:rPr>
          <w:rFonts w:ascii="Times New Roman" w:cs="Times New Roman" w:eastAsia="Times New Roman" w:hAnsi="Times New Roman"/>
          <w:color w:val="212121"/>
          <w:sz w:val="20"/>
          <w:szCs w:val="20"/>
        </w:rPr>
        <w:t xml:space="preserve">Bagian A (Pilihan Ganda): Pilih satu jawaban yang paling tepat dengan memberi tanda silang (X) pada huruf pilihan.</w:t>
      </w:r>
    </w:p>
    <w:p>
      <w:pPr>
        <w:spacing w:after="30" w:before="30"/>
        <w:ind w:left="480" w:hanging="280"/>
      </w:pPr>
      <w:r>
        <w:rPr>
          <w:rFonts w:ascii="Arial" w:cs="Arial" w:eastAsia="Arial" w:hAnsi="Arial"/>
          <w:b/>
          <w:bCs/>
          <w:color w:val="2E7D32"/>
          <w:sz w:val="20"/>
          <w:szCs w:val="20"/>
        </w:rPr>
        <w:t xml:space="preserve">3.	</w:t>
      </w:r>
      <w:r>
        <w:rPr>
          <w:rFonts w:ascii="Times New Roman" w:cs="Times New Roman" w:eastAsia="Times New Roman" w:hAnsi="Times New Roman"/>
          <w:color w:val="212121"/>
          <w:sz w:val="20"/>
          <w:szCs w:val="20"/>
        </w:rPr>
        <w:t xml:space="preserve">Bagian B (Isian Singkat): Jawab dengan ringkas, tepat, dan menggunakan istilah ekonomi yang benar (3-5 kalimat per soal).</w:t>
      </w:r>
    </w:p>
    <w:p>
      <w:pPr>
        <w:spacing w:after="30" w:before="30"/>
        <w:ind w:left="480" w:hanging="280"/>
      </w:pPr>
      <w:r>
        <w:rPr>
          <w:rFonts w:ascii="Arial" w:cs="Arial" w:eastAsia="Arial" w:hAnsi="Arial"/>
          <w:b/>
          <w:bCs/>
          <w:color w:val="2E7D32"/>
          <w:sz w:val="20"/>
          <w:szCs w:val="20"/>
        </w:rPr>
        <w:t xml:space="preserve">4.	</w:t>
      </w:r>
      <w:r>
        <w:rPr>
          <w:rFonts w:ascii="Times New Roman" w:cs="Times New Roman" w:eastAsia="Times New Roman" w:hAnsi="Times New Roman"/>
          <w:color w:val="212121"/>
          <w:sz w:val="20"/>
          <w:szCs w:val="20"/>
        </w:rPr>
        <w:t xml:space="preserve">Bagian C (Esai): Pilih 3 dari 4 soal. Jawab secara sistematis: konsep/teori -&gt; analisis -&gt; contoh/data -&gt; kesimpulan. Minimal 3 paragraf per soal.</w:t>
      </w:r>
    </w:p>
    <w:p>
      <w:pPr>
        <w:spacing w:after="30" w:before="30"/>
        <w:ind w:left="480" w:hanging="280"/>
      </w:pPr>
      <w:r>
        <w:rPr>
          <w:rFonts w:ascii="Arial" w:cs="Arial" w:eastAsia="Arial" w:hAnsi="Arial"/>
          <w:b/>
          <w:bCs/>
          <w:color w:val="2E7D32"/>
          <w:sz w:val="20"/>
          <w:szCs w:val="20"/>
        </w:rPr>
        <w:t xml:space="preserve">5.	</w:t>
      </w:r>
      <w:r>
        <w:rPr>
          <w:rFonts w:ascii="Times New Roman" w:cs="Times New Roman" w:eastAsia="Times New Roman" w:hAnsi="Times New Roman"/>
          <w:color w:val="212121"/>
          <w:sz w:val="20"/>
          <w:szCs w:val="20"/>
        </w:rPr>
        <w:t xml:space="preserve">Dilarang bekerja sama atau menggunakan buku/catatan dalam bentuk apapun.</w:t>
      </w:r>
    </w:p>
    <w:p>
      <w:pPr>
        <w:spacing w:after="0" w:before="140"/>
      </w:pPr>
    </w:p>
    <w:p>
      <w:pPr>
        <w:pStyle w:val="Heading2"/>
        <w:pBdr>
          <w:bottom w:val="single" w:color="F9A825" w:sz="4"/>
        </w:pBdr>
        <w:spacing w:after="80" w:before="180"/>
      </w:pPr>
      <w:r>
        <w:rPr>
          <w:rFonts w:ascii="Arial" w:cs="Arial" w:eastAsia="Arial" w:hAnsi="Arial"/>
          <w:b/>
          <w:bCs/>
          <w:color w:val="1B5E20"/>
          <w:sz w:val="24"/>
          <w:szCs w:val="24"/>
        </w:rPr>
        <w:t xml:space="preserve">TABEL PENILAIAN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rPr>
          <w:tblHeader/>
        </w:trPr>
        <w:tc>
          <w:tcPr>
            <w:tcW w:type="dxa" w:w="3200"/>
            <w:tcBorders>
              <w:top w:val="single" w:color="1B5E20" w:sz="6"/>
              <w:left w:val="single" w:color="1B5E20" w:sz="6"/>
              <w:bottom w:val="single" w:color="1B5E20" w:sz="6"/>
              <w:right w:val="single" w:color="1B5E20" w:sz="6"/>
            </w:tcBorders>
            <w:shd w:fill="1B5E20"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bCs/>
                <w:color w:val="FFFFFF"/>
                <w:sz w:val="21"/>
                <w:szCs w:val="21"/>
              </w:rPr>
              <w:t xml:space="preserve">Bagian</w:t>
            </w:r>
          </w:p>
        </w:tc>
        <w:tc>
          <w:tcPr>
            <w:tcW w:type="dxa" w:w="2200"/>
            <w:tcBorders>
              <w:top w:val="single" w:color="1B5E20" w:sz="6"/>
              <w:left w:val="single" w:color="1B5E20" w:sz="6"/>
              <w:bottom w:val="single" w:color="1B5E20" w:sz="6"/>
              <w:right w:val="single" w:color="1B5E20" w:sz="6"/>
            </w:tcBorders>
            <w:shd w:fill="1B5E20"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bCs/>
                <w:color w:val="FFFFFF"/>
                <w:sz w:val="21"/>
                <w:szCs w:val="21"/>
              </w:rPr>
              <w:t xml:space="preserve">Jumlah Soal</w:t>
            </w:r>
          </w:p>
        </w:tc>
        <w:tc>
          <w:tcPr>
            <w:tcW w:type="dxa" w:w="2000"/>
            <w:tcBorders>
              <w:top w:val="single" w:color="1B5E20" w:sz="6"/>
              <w:left w:val="single" w:color="1B5E20" w:sz="6"/>
              <w:bottom w:val="single" w:color="1B5E20" w:sz="6"/>
              <w:right w:val="single" w:color="1B5E20" w:sz="6"/>
            </w:tcBorders>
            <w:shd w:fill="1B5E20"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bCs/>
                <w:color w:val="FFFFFF"/>
                <w:sz w:val="21"/>
                <w:szCs w:val="21"/>
              </w:rPr>
              <w:t xml:space="preserve">Bobot/Soal</w:t>
            </w:r>
          </w:p>
        </w:tc>
        <w:tc>
          <w:tcPr>
            <w:tcW w:type="dxa" w:w="1960"/>
            <w:tcBorders>
              <w:top w:val="single" w:color="1B5E20" w:sz="6"/>
              <w:left w:val="single" w:color="1B5E20" w:sz="6"/>
              <w:bottom w:val="single" w:color="1B5E20" w:sz="6"/>
              <w:right w:val="single" w:color="1B5E20" w:sz="6"/>
            </w:tcBorders>
            <w:shd w:fill="1B5E20"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bCs/>
                <w:color w:val="FFFFFF"/>
                <w:sz w:val="21"/>
                <w:szCs w:val="21"/>
              </w:rPr>
              <w:t xml:space="preserve">Total Poin</w:t>
            </w:r>
          </w:p>
        </w:tc>
      </w:tr>
      <w:tr>
        <w:tc>
          <w:tcPr>
            <w:tcW w:type="dxa" w:w="32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A — Pilihan Ganda</w:t>
            </w:r>
          </w:p>
        </w:tc>
        <w:tc>
          <w:tcPr>
            <w:tcW w:type="dxa" w:w="22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20 soal</w:t>
            </w:r>
          </w:p>
        </w:tc>
        <w:tc>
          <w:tcPr>
            <w:tcW w:type="dxa" w:w="20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1 poin</w:t>
            </w:r>
          </w:p>
        </w:tc>
        <w:tc>
          <w:tcPr>
            <w:tcW w:type="dxa" w:w="196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20 poin</w:t>
            </w:r>
          </w:p>
        </w:tc>
      </w:tr>
      <w:tr>
        <w:tc>
          <w:tcPr>
            <w:tcW w:type="dxa" w:w="320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B — Isian Singkat</w:t>
            </w:r>
          </w:p>
        </w:tc>
        <w:tc>
          <w:tcPr>
            <w:tcW w:type="dxa" w:w="220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5 soal</w:t>
            </w:r>
          </w:p>
        </w:tc>
        <w:tc>
          <w:tcPr>
            <w:tcW w:type="dxa" w:w="200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4 poin</w:t>
            </w:r>
          </w:p>
        </w:tc>
        <w:tc>
          <w:tcPr>
            <w:tcW w:type="dxa" w:w="196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20 poin</w:t>
            </w:r>
          </w:p>
        </w:tc>
      </w:tr>
      <w:tr>
        <w:tc>
          <w:tcPr>
            <w:tcW w:type="dxa" w:w="32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C — Esai Analitis (pilih 3)</w:t>
            </w:r>
          </w:p>
        </w:tc>
        <w:tc>
          <w:tcPr>
            <w:tcW w:type="dxa" w:w="22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3 soal</w:t>
            </w:r>
          </w:p>
        </w:tc>
        <w:tc>
          <w:tcPr>
            <w:tcW w:type="dxa" w:w="20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20 poin</w:t>
            </w:r>
          </w:p>
        </w:tc>
        <w:tc>
          <w:tcPr>
            <w:tcW w:type="dxa" w:w="196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val="false"/>
                <w:bCs w:val="false"/>
                <w:color w:val="212121"/>
                <w:sz w:val="21"/>
                <w:szCs w:val="21"/>
              </w:rPr>
              <w:t xml:space="preserve">60 poin</w:t>
            </w:r>
          </w:p>
        </w:tc>
      </w:tr>
      <w:tr>
        <w:tc>
          <w:tcPr>
            <w:tcW w:type="dxa" w:w="320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bCs/>
                <w:color w:val="1B5E20"/>
                <w:sz w:val="21"/>
                <w:szCs w:val="21"/>
              </w:rPr>
              <w:t xml:space="preserve">TOTAL</w:t>
            </w:r>
          </w:p>
        </w:tc>
        <w:tc>
          <w:tcPr>
            <w:tcW w:type="dxa" w:w="220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bCs/>
                <w:color w:val="1B5E20"/>
                <w:sz w:val="21"/>
                <w:szCs w:val="21"/>
              </w:rPr>
              <w:t xml:space="preserve"/>
            </w:r>
          </w:p>
        </w:tc>
        <w:tc>
          <w:tcPr>
            <w:tcW w:type="dxa" w:w="200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bCs/>
                <w:color w:val="1B5E20"/>
                <w:sz w:val="21"/>
                <w:szCs w:val="21"/>
              </w:rPr>
              <w:t xml:space="preserve"/>
            </w:r>
          </w:p>
        </w:tc>
        <w:tc>
          <w:tcPr>
            <w:tcW w:type="dxa" w:w="196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bCs/>
                <w:color w:val="1B5E20"/>
                <w:sz w:val="21"/>
                <w:szCs w:val="21"/>
              </w:rPr>
              <w:t xml:space="preserve">100 poin</w:t>
            </w:r>
          </w:p>
        </w:tc>
      </w:tr>
    </w:tbl>
    <w:p>
      <w:pPr>
        <w:spacing w:after="0" w:before="80"/>
      </w:pPr>
    </w:p>
    <w:p>
      <w:r>
        <w:br w:type="page"/>
      </w:r>
    </w:p>
    <w:p>
      <w:pPr>
        <w:pStyle w:val="Heading1"/>
        <w:pBdr>
          <w:bottom w:val="single" w:color="F9A825" w:sz="8"/>
        </w:pBdr>
        <w:shd w:fill="1B5E20" w:val="clear"/>
        <w:spacing w:after="120" w:before="200"/>
        <w:ind w:left="140" w:right="140"/>
      </w:pPr>
      <w:r>
        <w:rPr>
          <w:rFonts w:ascii="Arial" w:cs="Arial" w:eastAsia="Arial" w:hAnsi="Arial"/>
          <w:b/>
          <w:bCs/>
          <w:color w:val="FFFFFF"/>
          <w:sz w:val="28"/>
          <w:szCs w:val="28"/>
        </w:rPr>
        <w:t xml:space="preserve">BAGIAN A — PILIHAN GANDA</w:t>
      </w:r>
    </w:p>
    <w:p>
      <w:pPr>
        <w:spacing w:after="80" w:before="80" w:line="276"/>
        <w:jc w:val="left"/>
      </w:pPr>
      <w:r>
        <w:rPr>
          <w:rFonts w:ascii="Times New Roman" w:cs="Times New Roman" w:eastAsia="Times New Roman" w:hAnsi="Times New Roman"/>
          <w:b/>
          <w:bCs/>
          <w:color w:val="212121"/>
          <w:sz w:val="21"/>
          <w:szCs w:val="21"/>
        </w:rPr>
        <w:t xml:space="preserve">Petunjuk: </w:t>
      </w:r>
      <w:r>
        <w:rPr>
          <w:rFonts w:ascii="Times New Roman" w:cs="Times New Roman" w:eastAsia="Times New Roman" w:hAnsi="Times New Roman"/>
          <w:color w:val="212121"/>
          <w:sz w:val="21"/>
          <w:szCs w:val="21"/>
        </w:rPr>
        <w:t xml:space="preserve">Pilih satu jawaban yang paling tepat. (20 soal × 1 poin = 20 poin)</w:t>
      </w:r>
    </w:p>
    <w:p>
      <w:pPr>
        <w:pBdr>
          <w:bottom w:val="single" w:color="F9A825" w:sz="6"/>
        </w:pBdr>
        <w:spacing w:after="120" w:before="120"/>
      </w:pPr>
    </w:p>
    <w:p>
      <w:pPr>
        <w:spacing w:after="60" w:before="140"/>
      </w:pPr>
      <w:r>
        <w:rPr>
          <w:rFonts w:ascii="Arial" w:cs="Arial" w:eastAsia="Arial" w:hAnsi="Arial"/>
          <w:b/>
          <w:bCs/>
          <w:color w:val="1B5E20"/>
          <w:sz w:val="22"/>
          <w:szCs w:val="22"/>
        </w:rPr>
        <w:t xml:space="preserve">1. [Keunggulan Komparatif (David Ricardo)]</w:t>
      </w:r>
    </w:p>
    <w:p>
      <w:pPr>
        <w:spacing w:after="60" w:before="40"/>
        <w:ind w:left="200"/>
      </w:pPr>
      <w:r>
        <w:rPr>
          <w:rFonts w:ascii="Times New Roman" w:cs="Times New Roman" w:eastAsia="Times New Roman" w:hAnsi="Times New Roman"/>
          <w:color w:val="212121"/>
          <w:sz w:val="22"/>
          <w:szCs w:val="22"/>
        </w:rPr>
        <w:t xml:space="preserve">Teori keunggulan komparatif (comparative advantage) yang dikemukakan oleh David Ricardo menyatakan bahwa suatu negara sebaiknya mengkhususkan diri dalam memproduksi barang yang...</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Memiliki biaya produksi absolut terendah dibandingkan negara lain</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Memiliki biaya oportunitas (opportunity cost) terendah relatif terhadap negara lain</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Memiliki sumber daya alam terbesar di antara komoditas yang diproduksi</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Menghasilkan surplus neraca perdagangan terbesar bagi negara tersebut</w:t>
      </w:r>
    </w:p>
    <w:p>
      <w:pPr>
        <w:spacing w:after="0" w:before="40"/>
      </w:pPr>
    </w:p>
    <w:p>
      <w:pPr>
        <w:spacing w:after="60" w:before="140"/>
      </w:pPr>
      <w:r>
        <w:rPr>
          <w:rFonts w:ascii="Arial" w:cs="Arial" w:eastAsia="Arial" w:hAnsi="Arial"/>
          <w:b/>
          <w:bCs/>
          <w:color w:val="1B5E20"/>
          <w:sz w:val="22"/>
          <w:szCs w:val="22"/>
        </w:rPr>
        <w:t xml:space="preserve">2. [Teori Heckscher-Ohlin]</w:t>
      </w:r>
    </w:p>
    <w:p>
      <w:pPr>
        <w:spacing w:after="60" w:before="40"/>
        <w:ind w:left="200"/>
      </w:pPr>
      <w:r>
        <w:rPr>
          <w:rFonts w:ascii="Times New Roman" w:cs="Times New Roman" w:eastAsia="Times New Roman" w:hAnsi="Times New Roman"/>
          <w:color w:val="212121"/>
          <w:sz w:val="22"/>
          <w:szCs w:val="22"/>
        </w:rPr>
        <w:t xml:space="preserve">Berdasarkan teori Heckscher-Ohlin (H-O), sebuah negara dengan kelimpahan tenaga kerja (labor-abundant) akan cenderung mengekspor barang yang bersifat...</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Capital-intensive (padat modal)</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Technology-intensive (padat teknologi)</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Labor-intensive (padat karya)</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Natural resource-intensive (padat sumber daya alam)</w:t>
      </w:r>
    </w:p>
    <w:p>
      <w:pPr>
        <w:spacing w:after="0" w:before="40"/>
      </w:pPr>
    </w:p>
    <w:p>
      <w:pPr>
        <w:spacing w:after="60" w:before="140"/>
      </w:pPr>
      <w:r>
        <w:rPr>
          <w:rFonts w:ascii="Arial" w:cs="Arial" w:eastAsia="Arial" w:hAnsi="Arial"/>
          <w:b/>
          <w:bCs/>
          <w:color w:val="1B5E20"/>
          <w:sz w:val="22"/>
          <w:szCs w:val="22"/>
        </w:rPr>
        <w:t xml:space="preserve">3. [Pergerakan Nilai Tukar]</w:t>
      </w:r>
    </w:p>
    <w:p>
      <w:pPr>
        <w:spacing w:after="60" w:before="40"/>
        <w:ind w:left="200"/>
      </w:pPr>
      <w:r>
        <w:rPr>
          <w:rFonts w:ascii="Times New Roman" w:cs="Times New Roman" w:eastAsia="Times New Roman" w:hAnsi="Times New Roman"/>
          <w:color w:val="212121"/>
          <w:sz w:val="22"/>
          <w:szCs w:val="22"/>
        </w:rPr>
        <w:t xml:space="preserve">Jika nilai tukar rupiah terhadap dolar AS bergerak dari Rp 15.000/USD menjadi Rp 17.500/USD, maka kondisi tersebut disebut...</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Apresiasi rupiah</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Depresiasi rupiah</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Revaluasi rupiah</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Devaluasi rupiah</w:t>
      </w:r>
    </w:p>
    <w:p>
      <w:pPr>
        <w:spacing w:after="0" w:before="40"/>
      </w:pPr>
    </w:p>
    <w:p>
      <w:pPr>
        <w:spacing w:after="60" w:before="140"/>
      </w:pPr>
      <w:r>
        <w:rPr>
          <w:rFonts w:ascii="Arial" w:cs="Arial" w:eastAsia="Arial" w:hAnsi="Arial"/>
          <w:b/>
          <w:bCs/>
          <w:color w:val="1B5E20"/>
          <w:sz w:val="22"/>
          <w:szCs w:val="22"/>
        </w:rPr>
        <w:t xml:space="preserve">4. [Dampak Depresiasi terhadap Sektor Pertanian]</w:t>
      </w:r>
    </w:p>
    <w:p>
      <w:pPr>
        <w:spacing w:after="60" w:before="40"/>
        <w:ind w:left="200"/>
      </w:pPr>
      <w:r>
        <w:rPr>
          <w:rFonts w:ascii="Times New Roman" w:cs="Times New Roman" w:eastAsia="Times New Roman" w:hAnsi="Times New Roman"/>
          <w:color w:val="212121"/>
          <w:sz w:val="22"/>
          <w:szCs w:val="22"/>
        </w:rPr>
        <w:t xml:space="preserve">Pada bulan Mei 2026, nilai tukar rupiah melemah ke level Rp 17.475 per USD. Dampak langsung yang paling terasa bagi produsen pertanian Indonesia yang menggunakan pupuk impor adalah...</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Penurunan harga jual hasil pertanian di pasar domestik</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Peningkatan biaya produksi dalam denominasi rupiah</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Kenaikan nilai ekspor komoditas pertanian secara otomatis</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Penurunan permintaan konsumen terhadap produk pertanian lokal</w:t>
      </w:r>
    </w:p>
    <w:p>
      <w:pPr>
        <w:spacing w:after="0" w:before="40"/>
      </w:pPr>
    </w:p>
    <w:p>
      <w:pPr>
        <w:spacing w:after="60" w:before="140"/>
      </w:pPr>
      <w:r>
        <w:rPr>
          <w:rFonts w:ascii="Arial" w:cs="Arial" w:eastAsia="Arial" w:hAnsi="Arial"/>
          <w:b/>
          <w:bCs/>
          <w:color w:val="1B5E20"/>
          <w:sz w:val="22"/>
          <w:szCs w:val="22"/>
        </w:rPr>
        <w:t xml:space="preserve">5. [Instrumen Kebijakan Perdagangan]</w:t>
      </w:r>
    </w:p>
    <w:p>
      <w:pPr>
        <w:spacing w:after="60" w:before="40"/>
        <w:ind w:left="200"/>
      </w:pPr>
      <w:r>
        <w:rPr>
          <w:rFonts w:ascii="Times New Roman" w:cs="Times New Roman" w:eastAsia="Times New Roman" w:hAnsi="Times New Roman"/>
          <w:color w:val="212121"/>
          <w:sz w:val="22"/>
          <w:szCs w:val="22"/>
        </w:rPr>
        <w:t xml:space="preserve">Instrumen kebijakan perdagangan internasional yang berupa pembatasan jumlah fisik barang yang boleh diimpor ke suatu negara disebut...</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Tarif (tariff)</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Subsidi ekspor (export subsidy)</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Kuota impor (import quota)</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Dumping</w:t>
      </w:r>
    </w:p>
    <w:p>
      <w:pPr>
        <w:spacing w:after="0" w:before="40"/>
      </w:pPr>
    </w:p>
    <w:p>
      <w:pPr>
        <w:spacing w:after="60" w:before="140"/>
      </w:pPr>
      <w:r>
        <w:rPr>
          <w:rFonts w:ascii="Arial" w:cs="Arial" w:eastAsia="Arial" w:hAnsi="Arial"/>
          <w:b/>
          <w:bCs/>
          <w:color w:val="1B5E20"/>
          <w:sz w:val="22"/>
          <w:szCs w:val="22"/>
        </w:rPr>
        <w:t xml:space="preserve">6. [Neraca Pembayaran]</w:t>
      </w:r>
    </w:p>
    <w:p>
      <w:pPr>
        <w:spacing w:after="60" w:before="40"/>
        <w:ind w:left="200"/>
      </w:pPr>
      <w:r>
        <w:rPr>
          <w:rFonts w:ascii="Times New Roman" w:cs="Times New Roman" w:eastAsia="Times New Roman" w:hAnsi="Times New Roman"/>
          <w:color w:val="212121"/>
          <w:sz w:val="22"/>
          <w:szCs w:val="22"/>
        </w:rPr>
        <w:t xml:space="preserve">Neraca Pembayaran (Balance of Payments) terdiri dari dua akun utama, yaitu...</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Neraca perdagangan dan neraca modal</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Transaksi berjalan (current account) dan transaksi modal &amp; finansial (capital &amp; financial account)</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Akun ekspor dan akun impor</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Neraca fiskal dan neraca moneter</w:t>
      </w:r>
    </w:p>
    <w:p>
      <w:pPr>
        <w:spacing w:after="0" w:before="40"/>
      </w:pPr>
    </w:p>
    <w:p>
      <w:pPr>
        <w:spacing w:after="60" w:before="140"/>
      </w:pPr>
      <w:r>
        <w:rPr>
          <w:rFonts w:ascii="Arial" w:cs="Arial" w:eastAsia="Arial" w:hAnsi="Arial"/>
          <w:b/>
          <w:bCs/>
          <w:color w:val="1B5E20"/>
          <w:sz w:val="22"/>
          <w:szCs w:val="22"/>
        </w:rPr>
        <w:t xml:space="preserve">7. [Defisit Transaksi Berjalan]</w:t>
      </w:r>
    </w:p>
    <w:p>
      <w:pPr>
        <w:spacing w:after="60" w:before="40"/>
        <w:ind w:left="200"/>
      </w:pPr>
      <w:r>
        <w:rPr>
          <w:rFonts w:ascii="Times New Roman" w:cs="Times New Roman" w:eastAsia="Times New Roman" w:hAnsi="Times New Roman"/>
          <w:color w:val="212121"/>
          <w:sz w:val="22"/>
          <w:szCs w:val="22"/>
        </w:rPr>
        <w:t xml:space="preserve">Suatu negara mengalami defisit transaksi berjalan (current account deficit). Kondisi ini paling tepat diartikan sebagai...</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Nilai impor barang dan jasa lebih kecil daripada nilai ekspornya</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Nilai cadangan devisa negara mengalami kenaikan</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Nilai total pembayaran ke luar negeri melebihi penerimaan dari luar negeri pada akun transaksi berjalan</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Negara tersebut mengalami surplus neraca modal</w:t>
      </w:r>
    </w:p>
    <w:p>
      <w:pPr>
        <w:spacing w:after="0" w:before="40"/>
      </w:pPr>
    </w:p>
    <w:p>
      <w:pPr>
        <w:spacing w:after="60" w:before="140"/>
      </w:pPr>
      <w:r>
        <w:rPr>
          <w:rFonts w:ascii="Arial" w:cs="Arial" w:eastAsia="Arial" w:hAnsi="Arial"/>
          <w:b/>
          <w:bCs/>
          <w:color w:val="1B5E20"/>
          <w:sz w:val="22"/>
          <w:szCs w:val="22"/>
        </w:rPr>
        <w:t xml:space="preserve">8. [Sistem Nilai Tukar Mengambang Bebas]</w:t>
      </w:r>
    </w:p>
    <w:p>
      <w:pPr>
        <w:spacing w:after="60" w:before="40"/>
        <w:ind w:left="200"/>
      </w:pPr>
      <w:r>
        <w:rPr>
          <w:rFonts w:ascii="Times New Roman" w:cs="Times New Roman" w:eastAsia="Times New Roman" w:hAnsi="Times New Roman"/>
          <w:color w:val="212121"/>
          <w:sz w:val="22"/>
          <w:szCs w:val="22"/>
        </w:rPr>
        <w:t xml:space="preserve">Dalam sistem nilai tukar mengambang bebas (freely floating exchange rate), nilai tukar mata uang ditentukan oleh...</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Keputusan pemerintah melalui bank sentral</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Kesepakatan antar negara dalam forum internasional seperti IMF</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Mekanisme permintaan dan penawaran di pasar valuta asing</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Cadangan emas yang dimiliki suatu negara</w:t>
      </w:r>
    </w:p>
    <w:p>
      <w:pPr>
        <w:spacing w:after="0" w:before="40"/>
      </w:pPr>
    </w:p>
    <w:p>
      <w:pPr>
        <w:spacing w:after="60" w:before="140"/>
      </w:pPr>
      <w:r>
        <w:rPr>
          <w:rFonts w:ascii="Arial" w:cs="Arial" w:eastAsia="Arial" w:hAnsi="Arial"/>
          <w:b/>
          <w:bCs/>
          <w:color w:val="1B5E20"/>
          <w:sz w:val="22"/>
          <w:szCs w:val="22"/>
        </w:rPr>
        <w:t xml:space="preserve">9. [Teori Purchasing Power Parity (PPP)]</w:t>
      </w:r>
    </w:p>
    <w:p>
      <w:pPr>
        <w:spacing w:after="60" w:before="40"/>
        <w:ind w:left="200"/>
      </w:pPr>
      <w:r>
        <w:rPr>
          <w:rFonts w:ascii="Times New Roman" w:cs="Times New Roman" w:eastAsia="Times New Roman" w:hAnsi="Times New Roman"/>
          <w:color w:val="212121"/>
          <w:sz w:val="22"/>
          <w:szCs w:val="22"/>
        </w:rPr>
        <w:t xml:space="preserve">Teori Purchasing Power Parity (PPP) menyatakan bahwa nilai tukar antar dua negara dalam jangka panjang ditentukan oleh...</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Perbedaan tingkat suku bunga nominal antar kedua negara</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Perbedaan tingkat inflasi antar kedua negara</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Besarnya cadangan devisa masing-masing negara</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Surplus atau defisit neraca perdagangan masing-masing negara</w:t>
      </w:r>
    </w:p>
    <w:p>
      <w:pPr>
        <w:spacing w:after="0" w:before="40"/>
      </w:pPr>
    </w:p>
    <w:p>
      <w:pPr>
        <w:spacing w:after="60" w:before="140"/>
      </w:pPr>
      <w:r>
        <w:rPr>
          <w:rFonts w:ascii="Arial" w:cs="Arial" w:eastAsia="Arial" w:hAnsi="Arial"/>
          <w:b/>
          <w:bCs/>
          <w:color w:val="1B5E20"/>
          <w:sz w:val="22"/>
          <w:szCs w:val="22"/>
        </w:rPr>
        <w:t xml:space="preserve">10. [Intervensi Pasar Valas Bank Indonesia]</w:t>
      </w:r>
    </w:p>
    <w:p>
      <w:pPr>
        <w:spacing w:after="60" w:before="40"/>
        <w:ind w:left="200"/>
      </w:pPr>
      <w:r>
        <w:rPr>
          <w:rFonts w:ascii="Times New Roman" w:cs="Times New Roman" w:eastAsia="Times New Roman" w:hAnsi="Times New Roman"/>
          <w:color w:val="212121"/>
          <w:sz w:val="22"/>
          <w:szCs w:val="22"/>
        </w:rPr>
        <w:t xml:space="preserve">Kebijakan Bank Indonesia dalam menstabilkan nilai tukar rupiah yang melibatkan pembelian atau penjualan devisa secara langsung di pasar valas disebut...</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Kebijakan open market operation</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Intervensi pasar valuta asing (forex market intervention)</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Kebijakan reserve requirement</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Kebijakan quantitative easing</w:t>
      </w:r>
    </w:p>
    <w:p>
      <w:pPr>
        <w:spacing w:after="0" w:before="40"/>
      </w:pPr>
    </w:p>
    <w:p>
      <w:pPr>
        <w:spacing w:after="60" w:before="140"/>
      </w:pPr>
      <w:r>
        <w:rPr>
          <w:rFonts w:ascii="Arial" w:cs="Arial" w:eastAsia="Arial" w:hAnsi="Arial"/>
          <w:b/>
          <w:bCs/>
          <w:color w:val="1B5E20"/>
          <w:sz w:val="22"/>
          <w:szCs w:val="22"/>
        </w:rPr>
        <w:t xml:space="preserve">11. [Organisasi Perdagangan Internasional]</w:t>
      </w:r>
    </w:p>
    <w:p>
      <w:pPr>
        <w:spacing w:after="60" w:before="40"/>
        <w:ind w:left="200"/>
      </w:pPr>
      <w:r>
        <w:rPr>
          <w:rFonts w:ascii="Times New Roman" w:cs="Times New Roman" w:eastAsia="Times New Roman" w:hAnsi="Times New Roman"/>
          <w:color w:val="212121"/>
          <w:sz w:val="22"/>
          <w:szCs w:val="22"/>
        </w:rPr>
        <w:t xml:space="preserve">Organisasi internasional yang berfungsi sebagai forum multilateral untuk mengatur perdagangan barang dan jasa antar negara serta menyelesaikan sengketa perdagangan adalah...</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IMF (International Monetary Fund)</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World Bank (Bank Dunia)</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WTO (World Trade Organization)</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UNCTAD (United Nations Conference on Trade and Development)</w:t>
      </w:r>
    </w:p>
    <w:p>
      <w:pPr>
        <w:spacing w:after="0" w:before="40"/>
      </w:pPr>
    </w:p>
    <w:p>
      <w:pPr>
        <w:spacing w:after="60" w:before="140"/>
      </w:pPr>
      <w:r>
        <w:rPr>
          <w:rFonts w:ascii="Arial" w:cs="Arial" w:eastAsia="Arial" w:hAnsi="Arial"/>
          <w:b/>
          <w:bCs/>
          <w:color w:val="1B5E20"/>
          <w:sz w:val="22"/>
          <w:szCs w:val="22"/>
        </w:rPr>
        <w:t xml:space="preserve">12. [Praktik Dumping]</w:t>
      </w:r>
    </w:p>
    <w:p>
      <w:pPr>
        <w:spacing w:after="60" w:before="40"/>
        <w:ind w:left="200"/>
      </w:pPr>
      <w:r>
        <w:rPr>
          <w:rFonts w:ascii="Times New Roman" w:cs="Times New Roman" w:eastAsia="Times New Roman" w:hAnsi="Times New Roman"/>
          <w:color w:val="212121"/>
          <w:sz w:val="22"/>
          <w:szCs w:val="22"/>
        </w:rPr>
        <w:t xml:space="preserve">Praktik suatu negara yang menjual produk ekspornya di pasar internasional dengan harga di bawah biaya produksi atau di bawah harga domestik dengan tujuan merebut pangsa pasar disebut...</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Proteksionisme</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Subsidi ekspor</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Dumping</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Embargo perdagangan</w:t>
      </w:r>
    </w:p>
    <w:p>
      <w:pPr>
        <w:spacing w:after="0" w:before="40"/>
      </w:pPr>
    </w:p>
    <w:p>
      <w:pPr>
        <w:spacing w:after="60" w:before="140"/>
      </w:pPr>
      <w:r>
        <w:rPr>
          <w:rFonts w:ascii="Arial" w:cs="Arial" w:eastAsia="Arial" w:hAnsi="Arial"/>
          <w:b/>
          <w:bCs/>
          <w:color w:val="1B5E20"/>
          <w:sz w:val="22"/>
          <w:szCs w:val="22"/>
        </w:rPr>
        <w:t xml:space="preserve">13. [Perdagangan Internasional dalam Perspektif Islam]</w:t>
      </w:r>
    </w:p>
    <w:p>
      <w:pPr>
        <w:spacing w:after="60" w:before="40"/>
        <w:ind w:left="200"/>
      </w:pPr>
      <w:r>
        <w:rPr>
          <w:rFonts w:ascii="Times New Roman" w:cs="Times New Roman" w:eastAsia="Times New Roman" w:hAnsi="Times New Roman"/>
          <w:color w:val="212121"/>
          <w:sz w:val="22"/>
          <w:szCs w:val="22"/>
        </w:rPr>
        <w:t xml:space="preserve">Dalam kerangka ekonomi Islam, perdagangan internasional yang mengandung unsur riba melalui kredit ekspor berbunga tinggi termasuk dalam kategori yang dilarang karena bertentangan dengan prinsip...</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Maslahah mursalah</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Maqashid syariah khususnya hifzh al-mal (menjaga harta)</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Istihsan</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Qiyas</w:t>
      </w:r>
    </w:p>
    <w:p>
      <w:pPr>
        <w:spacing w:after="0" w:before="40"/>
      </w:pPr>
    </w:p>
    <w:p>
      <w:pPr>
        <w:spacing w:after="60" w:before="140"/>
      </w:pPr>
      <w:r>
        <w:rPr>
          <w:rFonts w:ascii="Arial" w:cs="Arial" w:eastAsia="Arial" w:hAnsi="Arial"/>
          <w:b/>
          <w:bCs/>
          <w:color w:val="1B5E20"/>
          <w:sz w:val="22"/>
          <w:szCs w:val="22"/>
        </w:rPr>
        <w:t xml:space="preserve">14. [Model Mundell-Fleming]</w:t>
      </w:r>
    </w:p>
    <w:p>
      <w:pPr>
        <w:spacing w:after="60" w:before="40"/>
        <w:ind w:left="200"/>
      </w:pPr>
      <w:r>
        <w:rPr>
          <w:rFonts w:ascii="Times New Roman" w:cs="Times New Roman" w:eastAsia="Times New Roman" w:hAnsi="Times New Roman"/>
          <w:color w:val="212121"/>
          <w:sz w:val="22"/>
          <w:szCs w:val="22"/>
        </w:rPr>
        <w:t xml:space="preserve">Model Mundell-Fleming menjelaskan bahwa dalam perekonomian terbuka kecil (small open economy) dengan nilai tukar mengambang, kebijakan moneter ekspansif akan menghasilkan...</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Peningkatan output yang signifikan</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Depresiasi nilai tukar yang mendorong ekspor dan meningkatkan output</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Tidak berdampak pada output karena dinetralkan oleh perubahan nilai tukar</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Penurunan cadangan devisa tanpa perubahan output</w:t>
      </w:r>
    </w:p>
    <w:p>
      <w:pPr>
        <w:spacing w:after="0" w:before="40"/>
      </w:pPr>
    </w:p>
    <w:p>
      <w:pPr>
        <w:spacing w:after="60" w:before="140"/>
      </w:pPr>
      <w:r>
        <w:rPr>
          <w:rFonts w:ascii="Arial" w:cs="Arial" w:eastAsia="Arial" w:hAnsi="Arial"/>
          <w:b/>
          <w:bCs/>
          <w:color w:val="1B5E20"/>
          <w:sz w:val="22"/>
          <w:szCs w:val="22"/>
        </w:rPr>
        <w:t xml:space="preserve">15. [Jenis Perjanjian Perdagangan]</w:t>
      </w:r>
    </w:p>
    <w:p>
      <w:pPr>
        <w:spacing w:after="60" w:before="40"/>
        <w:ind w:left="200"/>
      </w:pPr>
      <w:r>
        <w:rPr>
          <w:rFonts w:ascii="Times New Roman" w:cs="Times New Roman" w:eastAsia="Times New Roman" w:hAnsi="Times New Roman"/>
          <w:color w:val="212121"/>
          <w:sz w:val="22"/>
          <w:szCs w:val="22"/>
        </w:rPr>
        <w:t xml:space="preserve">Kesepakatan perdagangan bebas yang hanya melibatkan dua negara dikenal dengan istilah...</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Multilateral Trade Agreement (MTA)</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Regional Trade Agreement (RTA)</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Bilateral Trade Agreement (BTA)</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Preferential Trade Agreement (PTA)</w:t>
      </w:r>
    </w:p>
    <w:p>
      <w:pPr>
        <w:spacing w:after="0" w:before="40"/>
      </w:pPr>
    </w:p>
    <w:p>
      <w:pPr>
        <w:spacing w:after="60" w:before="140"/>
      </w:pPr>
      <w:r>
        <w:rPr>
          <w:rFonts w:ascii="Arial" w:cs="Arial" w:eastAsia="Arial" w:hAnsi="Arial"/>
          <w:b/>
          <w:bCs/>
          <w:color w:val="1B5E20"/>
          <w:sz w:val="22"/>
          <w:szCs w:val="22"/>
        </w:rPr>
        <w:t xml:space="preserve">16. [Terms of Trade]</w:t>
      </w:r>
    </w:p>
    <w:p>
      <w:pPr>
        <w:spacing w:after="60" w:before="40"/>
        <w:ind w:left="200"/>
      </w:pPr>
      <w:r>
        <w:rPr>
          <w:rFonts w:ascii="Times New Roman" w:cs="Times New Roman" w:eastAsia="Times New Roman" w:hAnsi="Times New Roman"/>
          <w:color w:val="212121"/>
          <w:sz w:val="22"/>
          <w:szCs w:val="22"/>
        </w:rPr>
        <w:t xml:space="preserve">Istilah terms of trade (nilai tukar perdagangan) mengacu pada...</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Kurs valuta asing antar dua negara mitra dagang</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Rasio antara indeks harga ekspor terhadap indeks harga impor suatu negara</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Selisih antara total ekspor dan total impor suatu negara</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Nilai cadangan devisa yang dibutuhkan untuk membiayai impor</w:t>
      </w:r>
    </w:p>
    <w:p>
      <w:pPr>
        <w:spacing w:after="0" w:before="40"/>
      </w:pPr>
    </w:p>
    <w:p>
      <w:pPr>
        <w:spacing w:after="60" w:before="140"/>
      </w:pPr>
      <w:r>
        <w:rPr>
          <w:rFonts w:ascii="Arial" w:cs="Arial" w:eastAsia="Arial" w:hAnsi="Arial"/>
          <w:b/>
          <w:bCs/>
          <w:color w:val="1B5E20"/>
          <w:sz w:val="22"/>
          <w:szCs w:val="22"/>
        </w:rPr>
        <w:t xml:space="preserve">17. [ASEAN Free Trade Area (AFTA)]</w:t>
      </w:r>
    </w:p>
    <w:p>
      <w:pPr>
        <w:spacing w:after="60" w:before="40"/>
        <w:ind w:left="200"/>
      </w:pPr>
      <w:r>
        <w:rPr>
          <w:rFonts w:ascii="Times New Roman" w:cs="Times New Roman" w:eastAsia="Times New Roman" w:hAnsi="Times New Roman"/>
          <w:color w:val="212121"/>
          <w:sz w:val="22"/>
          <w:szCs w:val="22"/>
        </w:rPr>
        <w:t xml:space="preserve">Indonesia sebagai negara anggota ASEAN turut berpartisipasi dalam AFTA (ASEAN Free Trade Area). Konsekuensi utama keanggotaan AFTA bagi Indonesia adalah...</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Penghapusan hambatan tarif dan non-tarif antar negara anggota ASEAN</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Pemberlakuan mata uang tunggal ASEAN untuk transaksi regional</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Larangan melakukan perdagangan dengan negara di luar ASEAN</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Penyeragaman kebijakan fiskal seluruh negara anggota ASEAN</w:t>
      </w:r>
    </w:p>
    <w:p>
      <w:pPr>
        <w:spacing w:after="0" w:before="40"/>
      </w:pPr>
    </w:p>
    <w:p>
      <w:pPr>
        <w:spacing w:after="60" w:before="140"/>
      </w:pPr>
      <w:r>
        <w:rPr>
          <w:rFonts w:ascii="Arial" w:cs="Arial" w:eastAsia="Arial" w:hAnsi="Arial"/>
          <w:b/>
          <w:bCs/>
          <w:color w:val="1B5E20"/>
          <w:sz w:val="22"/>
          <w:szCs w:val="22"/>
        </w:rPr>
        <w:t xml:space="preserve">18. [Efek J-Curve]</w:t>
      </w:r>
    </w:p>
    <w:p>
      <w:pPr>
        <w:spacing w:after="60" w:before="40"/>
        <w:ind w:left="200"/>
      </w:pPr>
      <w:r>
        <w:rPr>
          <w:rFonts w:ascii="Times New Roman" w:cs="Times New Roman" w:eastAsia="Times New Roman" w:hAnsi="Times New Roman"/>
          <w:color w:val="212121"/>
          <w:sz w:val="22"/>
          <w:szCs w:val="22"/>
        </w:rPr>
        <w:t xml:space="preserve">Efek J-Curve dalam ekonomi internasional menjelaskan fenomena bahwa setelah terjadi depresiasi nilai tukar, neraca perdagangan dalam jangka pendek justru...</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Segera membaik karena ekspor langsung meningkat</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Mengalami perburukan terlebih dahulu sebelum akhirnya membaik</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Tidak berubah karena produsen belum bereaksi</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Mengalami perbaikan permanen tanpa efek penyesuaian</w:t>
      </w:r>
    </w:p>
    <w:p>
      <w:pPr>
        <w:spacing w:after="0" w:before="40"/>
      </w:pPr>
    </w:p>
    <w:p>
      <w:pPr>
        <w:spacing w:after="60" w:before="140"/>
      </w:pPr>
      <w:r>
        <w:rPr>
          <w:rFonts w:ascii="Arial" w:cs="Arial" w:eastAsia="Arial" w:hAnsi="Arial"/>
          <w:b/>
          <w:bCs/>
          <w:color w:val="1B5E20"/>
          <w:sz w:val="22"/>
          <w:szCs w:val="22"/>
        </w:rPr>
        <w:t xml:space="preserve">19. [Fungsi Cadangan Devisa]</w:t>
      </w:r>
    </w:p>
    <w:p>
      <w:pPr>
        <w:spacing w:after="60" w:before="40"/>
        <w:ind w:left="200"/>
      </w:pPr>
      <w:r>
        <w:rPr>
          <w:rFonts w:ascii="Times New Roman" w:cs="Times New Roman" w:eastAsia="Times New Roman" w:hAnsi="Times New Roman"/>
          <w:color w:val="212121"/>
          <w:sz w:val="22"/>
          <w:szCs w:val="22"/>
        </w:rPr>
        <w:t xml:space="preserve">Cadangan devisa (foreign exchange reserves) Indonesia yang mencapai lebih dari USD 140 miliar pada Mei 2026 berfungsi antara lain sebagai...</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Sumber dana untuk membiayai APBN</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Jaminan untuk mendapatkan pinjaman luar negeri</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Alat untuk mendanai intervensi pasar valuta asing guna menstabilkan rupiah</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Modal untuk investasi langsung pemerintah di luar negeri</w:t>
      </w:r>
    </w:p>
    <w:p>
      <w:pPr>
        <w:spacing w:after="0" w:before="40"/>
      </w:pPr>
    </w:p>
    <w:p>
      <w:pPr>
        <w:spacing w:after="60" w:before="140"/>
      </w:pPr>
      <w:r>
        <w:rPr>
          <w:rFonts w:ascii="Arial" w:cs="Arial" w:eastAsia="Arial" w:hAnsi="Arial"/>
          <w:b/>
          <w:bCs/>
          <w:color w:val="1B5E20"/>
          <w:sz w:val="22"/>
          <w:szCs w:val="22"/>
        </w:rPr>
        <w:t xml:space="preserve">20. [Capital Flight]</w:t>
      </w:r>
    </w:p>
    <w:p>
      <w:pPr>
        <w:spacing w:after="60" w:before="40"/>
        <w:ind w:left="200"/>
      </w:pPr>
      <w:r>
        <w:rPr>
          <w:rFonts w:ascii="Times New Roman" w:cs="Times New Roman" w:eastAsia="Times New Roman" w:hAnsi="Times New Roman"/>
          <w:color w:val="212121"/>
          <w:sz w:val="22"/>
          <w:szCs w:val="22"/>
        </w:rPr>
        <w:t xml:space="preserve">Konsep capital flight dalam ekonomi internasional merujuk pada kondisi...</w:t>
      </w:r>
    </w:p>
    <w:p>
      <w:pPr>
        <w:spacing w:after="40" w:before="40"/>
        <w:ind w:left="480" w:hanging="280"/>
      </w:pPr>
      <w:r>
        <w:rPr>
          <w:rFonts w:ascii="Times New Roman" w:cs="Times New Roman" w:eastAsia="Times New Roman" w:hAnsi="Times New Roman"/>
          <w:b/>
          <w:bCs/>
          <w:color w:val="2E7D32"/>
          <w:sz w:val="22"/>
          <w:szCs w:val="22"/>
        </w:rPr>
        <w:t xml:space="preserve">A.	</w:t>
      </w:r>
      <w:r>
        <w:rPr>
          <w:rFonts w:ascii="Times New Roman" w:cs="Times New Roman" w:eastAsia="Times New Roman" w:hAnsi="Times New Roman"/>
          <w:color w:val="212121"/>
          <w:sz w:val="22"/>
          <w:szCs w:val="22"/>
        </w:rPr>
        <w:t xml:space="preserve">Masuknya modal asing dalam jumlah besar ke suatu negara</w:t>
      </w:r>
    </w:p>
    <w:p>
      <w:pPr>
        <w:spacing w:after="40" w:before="40"/>
        <w:ind w:left="480" w:hanging="280"/>
      </w:pPr>
      <w:r>
        <w:rPr>
          <w:rFonts w:ascii="Times New Roman" w:cs="Times New Roman" w:eastAsia="Times New Roman" w:hAnsi="Times New Roman"/>
          <w:b/>
          <w:bCs/>
          <w:color w:val="2E7D32"/>
          <w:sz w:val="22"/>
          <w:szCs w:val="22"/>
        </w:rPr>
        <w:t xml:space="preserve">B.	</w:t>
      </w:r>
      <w:r>
        <w:rPr>
          <w:rFonts w:ascii="Times New Roman" w:cs="Times New Roman" w:eastAsia="Times New Roman" w:hAnsi="Times New Roman"/>
          <w:color w:val="212121"/>
          <w:sz w:val="22"/>
          <w:szCs w:val="22"/>
        </w:rPr>
        <w:t xml:space="preserve">Perpindahan modal secara masif ke luar negeri akibat ketidakpastian ekonomi-politik</w:t>
      </w:r>
    </w:p>
    <w:p>
      <w:pPr>
        <w:spacing w:after="40" w:before="40"/>
        <w:ind w:left="480" w:hanging="280"/>
      </w:pPr>
      <w:r>
        <w:rPr>
          <w:rFonts w:ascii="Times New Roman" w:cs="Times New Roman" w:eastAsia="Times New Roman" w:hAnsi="Times New Roman"/>
          <w:b/>
          <w:bCs/>
          <w:color w:val="2E7D32"/>
          <w:sz w:val="22"/>
          <w:szCs w:val="22"/>
        </w:rPr>
        <w:t xml:space="preserve">C.	</w:t>
      </w:r>
      <w:r>
        <w:rPr>
          <w:rFonts w:ascii="Times New Roman" w:cs="Times New Roman" w:eastAsia="Times New Roman" w:hAnsi="Times New Roman"/>
          <w:color w:val="212121"/>
          <w:sz w:val="22"/>
          <w:szCs w:val="22"/>
        </w:rPr>
        <w:t xml:space="preserve">Kebijakan pemerintah membatasi aliran modal masuk (capital inflow)</w:t>
      </w:r>
    </w:p>
    <w:p>
      <w:pPr>
        <w:spacing w:after="40" w:before="40"/>
        <w:ind w:left="480" w:hanging="280"/>
      </w:pPr>
      <w:r>
        <w:rPr>
          <w:rFonts w:ascii="Times New Roman" w:cs="Times New Roman" w:eastAsia="Times New Roman" w:hAnsi="Times New Roman"/>
          <w:b/>
          <w:bCs/>
          <w:color w:val="2E7D32"/>
          <w:sz w:val="22"/>
          <w:szCs w:val="22"/>
        </w:rPr>
        <w:t xml:space="preserve">D.	</w:t>
      </w:r>
      <w:r>
        <w:rPr>
          <w:rFonts w:ascii="Times New Roman" w:cs="Times New Roman" w:eastAsia="Times New Roman" w:hAnsi="Times New Roman"/>
          <w:color w:val="212121"/>
          <w:sz w:val="22"/>
          <w:szCs w:val="22"/>
        </w:rPr>
        <w:t xml:space="preserve">Pembiayaan investasi domestik menggunakan sumber dana luar negeri</w:t>
      </w:r>
    </w:p>
    <w:p>
      <w:pPr>
        <w:spacing w:after="0" w:before="40"/>
      </w:pPr>
    </w:p>
    <w:p>
      <w:r>
        <w:br w:type="page"/>
      </w:r>
    </w:p>
    <w:p>
      <w:pPr>
        <w:pStyle w:val="Heading1"/>
        <w:pBdr>
          <w:bottom w:val="single" w:color="F9A825" w:sz="8"/>
        </w:pBdr>
        <w:shd w:fill="1B5E20" w:val="clear"/>
        <w:spacing w:after="120" w:before="200"/>
        <w:ind w:left="140" w:right="140"/>
      </w:pPr>
      <w:r>
        <w:rPr>
          <w:rFonts w:ascii="Arial" w:cs="Arial" w:eastAsia="Arial" w:hAnsi="Arial"/>
          <w:b/>
          <w:bCs/>
          <w:color w:val="FFFFFF"/>
          <w:sz w:val="28"/>
          <w:szCs w:val="28"/>
        </w:rPr>
        <w:t xml:space="preserve">BAGIAN B — ISIAN SINGKAT</w:t>
      </w:r>
    </w:p>
    <w:p>
      <w:pPr>
        <w:spacing w:after="80" w:before="80" w:line="276"/>
        <w:jc w:val="left"/>
      </w:pPr>
      <w:r>
        <w:rPr>
          <w:rFonts w:ascii="Times New Roman" w:cs="Times New Roman" w:eastAsia="Times New Roman" w:hAnsi="Times New Roman"/>
          <w:b/>
          <w:bCs/>
          <w:color w:val="212121"/>
          <w:sz w:val="21"/>
          <w:szCs w:val="21"/>
        </w:rPr>
        <w:t xml:space="preserve">Petunjuk: </w:t>
      </w:r>
      <w:r>
        <w:rPr>
          <w:rFonts w:ascii="Times New Roman" w:cs="Times New Roman" w:eastAsia="Times New Roman" w:hAnsi="Times New Roman"/>
          <w:color w:val="212121"/>
          <w:sz w:val="21"/>
          <w:szCs w:val="21"/>
        </w:rPr>
        <w:t xml:space="preserve">Jawab dengan ringkas dan tepat menggunakan istilah ekonomi yang benar. (5 soal × 4 poin = 20 poin)</w:t>
      </w:r>
    </w:p>
    <w:p>
      <w:pPr>
        <w:pBdr>
          <w:bottom w:val="single" w:color="F9A825" w:sz="6"/>
        </w:pBdr>
        <w:spacing w:after="120" w:before="120"/>
      </w:pPr>
    </w:p>
    <w:p>
      <w:pPr>
        <w:spacing w:after="60" w:before="140"/>
      </w:pPr>
      <w:r>
        <w:rPr>
          <w:rFonts w:ascii="Arial" w:cs="Arial" w:eastAsia="Arial" w:hAnsi="Arial"/>
          <w:b/>
          <w:bCs/>
          <w:color w:val="1B5E20"/>
          <w:sz w:val="22"/>
          <w:szCs w:val="22"/>
        </w:rPr>
        <w:t xml:space="preserve">21. </w:t>
      </w:r>
      <w:r>
        <w:rPr>
          <w:rFonts w:ascii="Arial" w:cs="Arial" w:eastAsia="Arial" w:hAnsi="Arial"/>
          <w:b/>
          <w:bCs/>
          <w:color w:val="2E7D32"/>
          <w:sz w:val="22"/>
          <w:szCs w:val="22"/>
        </w:rPr>
        <w:t xml:space="preserve">[Keunggulan Absolut vs. Komparatif]</w:t>
      </w:r>
    </w:p>
    <w:p>
      <w:pPr>
        <w:spacing w:after="80" w:before="40"/>
        <w:ind w:left="200"/>
      </w:pPr>
      <w:r>
        <w:rPr>
          <w:rFonts w:ascii="Times New Roman" w:cs="Times New Roman" w:eastAsia="Times New Roman" w:hAnsi="Times New Roman"/>
          <w:color w:val="212121"/>
          <w:sz w:val="22"/>
          <w:szCs w:val="22"/>
        </w:rPr>
        <w:t xml:space="preserve">Jelaskan perbedaan mendasar antara teori keunggulan absolut (Adam Smith) dan keunggulan komparatif (David Ricardo) dalam perdagangan internasional. Berikan contoh sederhana untuk masing-masing!</w:t>
      </w:r>
    </w:p>
    <w:p>
      <w:pPr>
        <w:spacing w:after="40" w:before="80" w:line="276"/>
        <w:jc w:val="left"/>
      </w:pPr>
      <w:r>
        <w:rPr>
          <w:rFonts w:ascii="Times New Roman" w:cs="Times New Roman" w:eastAsia="Times New Roman" w:hAnsi="Times New Roman"/>
          <w:b/>
          <w:bCs/>
          <w:color w:val="2E7D32"/>
          <w:sz w:val="20"/>
          <w:szCs w:val="20"/>
        </w:rPr>
        <w:t xml:space="preserve">Jawaban:</w:t>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spacing w:after="0" w:before="60"/>
      </w:pPr>
    </w:p>
    <w:p>
      <w:pPr>
        <w:spacing w:after="60" w:before="140"/>
      </w:pPr>
      <w:r>
        <w:rPr>
          <w:rFonts w:ascii="Arial" w:cs="Arial" w:eastAsia="Arial" w:hAnsi="Arial"/>
          <w:b/>
          <w:bCs/>
          <w:color w:val="1B5E20"/>
          <w:sz w:val="22"/>
          <w:szCs w:val="22"/>
        </w:rPr>
        <w:t xml:space="preserve">22. </w:t>
      </w:r>
      <w:r>
        <w:rPr>
          <w:rFonts w:ascii="Arial" w:cs="Arial" w:eastAsia="Arial" w:hAnsi="Arial"/>
          <w:b/>
          <w:bCs/>
          <w:color w:val="2E7D32"/>
          <w:sz w:val="22"/>
          <w:szCs w:val="22"/>
        </w:rPr>
        <w:t xml:space="preserve">[Komponen Neraca Transaksi Berjalan]</w:t>
      </w:r>
    </w:p>
    <w:p>
      <w:pPr>
        <w:spacing w:after="80" w:before="40"/>
        <w:ind w:left="200"/>
      </w:pPr>
      <w:r>
        <w:rPr>
          <w:rFonts w:ascii="Times New Roman" w:cs="Times New Roman" w:eastAsia="Times New Roman" w:hAnsi="Times New Roman"/>
          <w:color w:val="212121"/>
          <w:sz w:val="22"/>
          <w:szCs w:val="22"/>
        </w:rPr>
        <w:t xml:space="preserve">Sebutkan dan jelaskan secara singkat tiga komponen utama yang terdapat dalam Neraca Transaksi Berjalan (Current Account)!</w:t>
      </w:r>
    </w:p>
    <w:p>
      <w:pPr>
        <w:spacing w:after="40" w:before="80" w:line="276"/>
        <w:jc w:val="left"/>
      </w:pPr>
      <w:r>
        <w:rPr>
          <w:rFonts w:ascii="Times New Roman" w:cs="Times New Roman" w:eastAsia="Times New Roman" w:hAnsi="Times New Roman"/>
          <w:b/>
          <w:bCs/>
          <w:color w:val="2E7D32"/>
          <w:sz w:val="20"/>
          <w:szCs w:val="20"/>
        </w:rPr>
        <w:t xml:space="preserve">Jawaban:</w:t>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spacing w:after="0" w:before="60"/>
      </w:pPr>
    </w:p>
    <w:p>
      <w:pPr>
        <w:spacing w:after="60" w:before="140"/>
      </w:pPr>
      <w:r>
        <w:rPr>
          <w:rFonts w:ascii="Arial" w:cs="Arial" w:eastAsia="Arial" w:hAnsi="Arial"/>
          <w:b/>
          <w:bCs/>
          <w:color w:val="1B5E20"/>
          <w:sz w:val="22"/>
          <w:szCs w:val="22"/>
        </w:rPr>
        <w:t xml:space="preserve">23. </w:t>
      </w:r>
      <w:r>
        <w:rPr>
          <w:rFonts w:ascii="Arial" w:cs="Arial" w:eastAsia="Arial" w:hAnsi="Arial"/>
          <w:b/>
          <w:bCs/>
          <w:color w:val="2E7D32"/>
          <w:sz w:val="22"/>
          <w:szCs w:val="22"/>
        </w:rPr>
        <w:t xml:space="preserve">[Hot Money dan Risiko Stabilitas Nilai Tukar]</w:t>
      </w:r>
    </w:p>
    <w:p>
      <w:pPr>
        <w:spacing w:after="80" w:before="40"/>
        <w:ind w:left="200"/>
      </w:pPr>
      <w:r>
        <w:rPr>
          <w:rFonts w:ascii="Times New Roman" w:cs="Times New Roman" w:eastAsia="Times New Roman" w:hAnsi="Times New Roman"/>
          <w:color w:val="212121"/>
          <w:sz w:val="22"/>
          <w:szCs w:val="22"/>
        </w:rPr>
        <w:t xml:space="preserve">Apa yang dimaksud dengan hot money dalam konteks ekonomi internasional? Mengapa hot money dianggap sebagai faktor risiko bagi stabilitas nilai tukar negara berkembang seperti Indonesia?</w:t>
      </w:r>
    </w:p>
    <w:p>
      <w:pPr>
        <w:spacing w:after="40" w:before="80" w:line="276"/>
        <w:jc w:val="left"/>
      </w:pPr>
      <w:r>
        <w:rPr>
          <w:rFonts w:ascii="Times New Roman" w:cs="Times New Roman" w:eastAsia="Times New Roman" w:hAnsi="Times New Roman"/>
          <w:b/>
          <w:bCs/>
          <w:color w:val="2E7D32"/>
          <w:sz w:val="20"/>
          <w:szCs w:val="20"/>
        </w:rPr>
        <w:t xml:space="preserve">Jawaban:</w:t>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spacing w:after="0" w:before="60"/>
      </w:pPr>
    </w:p>
    <w:p>
      <w:pPr>
        <w:spacing w:after="60" w:before="140"/>
      </w:pPr>
      <w:r>
        <w:rPr>
          <w:rFonts w:ascii="Arial" w:cs="Arial" w:eastAsia="Arial" w:hAnsi="Arial"/>
          <w:b/>
          <w:bCs/>
          <w:color w:val="1B5E20"/>
          <w:sz w:val="22"/>
          <w:szCs w:val="22"/>
        </w:rPr>
        <w:t xml:space="preserve">24. </w:t>
      </w:r>
      <w:r>
        <w:rPr>
          <w:rFonts w:ascii="Arial" w:cs="Arial" w:eastAsia="Arial" w:hAnsi="Arial"/>
          <w:b/>
          <w:bCs/>
          <w:color w:val="2E7D32"/>
          <w:sz w:val="22"/>
          <w:szCs w:val="22"/>
        </w:rPr>
        <w:t xml:space="preserve">[Depresiasi dan Pass-Through Effect]</w:t>
      </w:r>
    </w:p>
    <w:p>
      <w:pPr>
        <w:spacing w:after="80" w:before="40"/>
        <w:ind w:left="200"/>
      </w:pPr>
      <w:r>
        <w:rPr>
          <w:rFonts w:ascii="Times New Roman" w:cs="Times New Roman" w:eastAsia="Times New Roman" w:hAnsi="Times New Roman"/>
          <w:color w:val="212121"/>
          <w:sz w:val="22"/>
          <w:szCs w:val="22"/>
        </w:rPr>
        <w:t xml:space="preserve">Jelaskan mekanisme transmisi dampak depresiasi rupiah terhadap tingkat inflasi domestik Indonesia, dengan menggunakan konsep pass-through effect!</w:t>
      </w:r>
    </w:p>
    <w:p>
      <w:pPr>
        <w:spacing w:after="40" w:before="80" w:line="276"/>
        <w:jc w:val="left"/>
      </w:pPr>
      <w:r>
        <w:rPr>
          <w:rFonts w:ascii="Times New Roman" w:cs="Times New Roman" w:eastAsia="Times New Roman" w:hAnsi="Times New Roman"/>
          <w:b/>
          <w:bCs/>
          <w:color w:val="2E7D32"/>
          <w:sz w:val="20"/>
          <w:szCs w:val="20"/>
        </w:rPr>
        <w:t xml:space="preserve">Jawaban:</w:t>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spacing w:after="0" w:before="60"/>
      </w:pPr>
    </w:p>
    <w:p>
      <w:pPr>
        <w:spacing w:after="60" w:before="140"/>
      </w:pPr>
      <w:r>
        <w:rPr>
          <w:rFonts w:ascii="Arial" w:cs="Arial" w:eastAsia="Arial" w:hAnsi="Arial"/>
          <w:b/>
          <w:bCs/>
          <w:color w:val="1B5E20"/>
          <w:sz w:val="22"/>
          <w:szCs w:val="22"/>
        </w:rPr>
        <w:t xml:space="preserve">25. </w:t>
      </w:r>
      <w:r>
        <w:rPr>
          <w:rFonts w:ascii="Arial" w:cs="Arial" w:eastAsia="Arial" w:hAnsi="Arial"/>
          <w:b/>
          <w:bCs/>
          <w:color w:val="2E7D32"/>
          <w:sz w:val="22"/>
          <w:szCs w:val="22"/>
        </w:rPr>
        <w:t xml:space="preserve">[Landasan Normatif Perdagangan Internasional dalam Islam]</w:t>
      </w:r>
    </w:p>
    <w:p>
      <w:pPr>
        <w:spacing w:after="80" w:before="40"/>
        <w:ind w:left="200"/>
      </w:pPr>
      <w:r>
        <w:rPr>
          <w:rFonts w:ascii="Times New Roman" w:cs="Times New Roman" w:eastAsia="Times New Roman" w:hAnsi="Times New Roman"/>
          <w:color w:val="212121"/>
          <w:sz w:val="22"/>
          <w:szCs w:val="22"/>
        </w:rPr>
        <w:t xml:space="preserve">Dalam perspektif ekonomi Islam, apa yang menjadi landasan normatif diperbolehkannya perdagangan internasional? Sebutkan minimal dua dalil (ayat Al-Qur'an atau hadis) dan kaitkan dengan prinsip maslahah!</w:t>
      </w:r>
    </w:p>
    <w:p>
      <w:pPr>
        <w:spacing w:after="40" w:before="80" w:line="276"/>
        <w:jc w:val="left"/>
      </w:pPr>
      <w:r>
        <w:rPr>
          <w:rFonts w:ascii="Times New Roman" w:cs="Times New Roman" w:eastAsia="Times New Roman" w:hAnsi="Times New Roman"/>
          <w:b/>
          <w:bCs/>
          <w:color w:val="2E7D32"/>
          <w:sz w:val="20"/>
          <w:szCs w:val="20"/>
        </w:rPr>
        <w:t xml:space="preserve">Jawaban:</w:t>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pBdr>
          <w:bottom w:val="single" w:color="AAAAAA" w:sz="2"/>
        </w:pBdr>
        <w:spacing w:after="0" w:before="0" w:line="480"/>
      </w:pPr>
      <w:r>
        <w:rPr>
          <w:sz w:val="22"/>
          <w:szCs w:val="22"/>
        </w:rPr>
        <w:t xml:space="preserve"/>
      </w:r>
    </w:p>
    <w:p>
      <w:pPr>
        <w:spacing w:after="0" w:before="60"/>
      </w:pPr>
    </w:p>
    <w:p>
      <w:r>
        <w:br w:type="page"/>
      </w:r>
    </w:p>
    <w:p>
      <w:pPr>
        <w:pStyle w:val="Heading1"/>
        <w:pBdr>
          <w:bottom w:val="single" w:color="F9A825" w:sz="8"/>
        </w:pBdr>
        <w:shd w:fill="1B5E20" w:val="clear"/>
        <w:spacing w:after="120" w:before="200"/>
        <w:ind w:left="140" w:right="140"/>
      </w:pPr>
      <w:r>
        <w:rPr>
          <w:rFonts w:ascii="Arial" w:cs="Arial" w:eastAsia="Arial" w:hAnsi="Arial"/>
          <w:b/>
          <w:bCs/>
          <w:color w:val="FFFFFF"/>
          <w:sz w:val="28"/>
          <w:szCs w:val="28"/>
        </w:rPr>
        <w:t xml:space="preserve">BAGIAN C — ESAI ANALITIS</w:t>
      </w:r>
    </w:p>
    <w:p>
      <w:pPr>
        <w:spacing w:after="80" w:before="80" w:line="276"/>
        <w:jc w:val="left"/>
      </w:pPr>
      <w:r>
        <w:rPr>
          <w:rFonts w:ascii="Times New Roman" w:cs="Times New Roman" w:eastAsia="Times New Roman" w:hAnsi="Times New Roman"/>
          <w:b/>
          <w:bCs/>
          <w:color w:val="212121"/>
          <w:sz w:val="21"/>
          <w:szCs w:val="21"/>
        </w:rPr>
        <w:t xml:space="preserve">Petunjuk: </w:t>
      </w:r>
      <w:r>
        <w:rPr>
          <w:rFonts w:ascii="Times New Roman" w:cs="Times New Roman" w:eastAsia="Times New Roman" w:hAnsi="Times New Roman"/>
          <w:color w:val="212121"/>
          <w:sz w:val="21"/>
          <w:szCs w:val="21"/>
        </w:rPr>
        <w:t xml:space="preserve">Pilih dan jawab 3 (tiga) dari 4 soal berikut. (3 soal × 20 poin = 60 poin). Jawab secara sistematis: definisi/konsep -&gt; analisis -&gt; contoh/data -&gt; kesimpulan. Minimal 3 paragraf per soal.</w:t>
      </w:r>
    </w:p>
    <w:p>
      <w:pPr>
        <w:pBdr>
          <w:bottom w:val="single" w:color="F9A825" w:sz="6"/>
        </w:pBdr>
        <w:spacing w:after="120" w:before="120"/>
      </w:pPr>
    </w:p>
    <w:p>
      <w:pPr>
        <w:spacing w:after="0" w:before="120"/>
      </w:pPr>
    </w:p>
    <w:p>
      <w:pPr>
        <w:shd w:fill="1B5E20" w:val="clear"/>
        <w:spacing w:after="60" w:before="80"/>
        <w:ind w:left="140" w:right="140"/>
      </w:pPr>
      <w:r>
        <w:rPr>
          <w:rFonts w:ascii="Arial" w:cs="Arial" w:eastAsia="Arial" w:hAnsi="Arial"/>
          <w:b/>
          <w:bCs/>
          <w:color w:val="F9A825"/>
          <w:sz w:val="24"/>
          <w:szCs w:val="24"/>
        </w:rPr>
        <w:t xml:space="preserve">Soal 26 — </w:t>
      </w:r>
      <w:r>
        <w:rPr>
          <w:rFonts w:ascii="Arial" w:cs="Arial" w:eastAsia="Arial" w:hAnsi="Arial"/>
          <w:b/>
          <w:bCs/>
          <w:color w:val="FFFFFF"/>
          <w:sz w:val="24"/>
          <w:szCs w:val="24"/>
        </w:rPr>
        <w:t xml:space="preserve">Teori Perdagangan &amp; Kebijakan</w:t>
      </w:r>
      <w:r>
        <w:rPr>
          <w:rFonts w:ascii="Arial" w:cs="Arial" w:eastAsia="Arial" w:hAnsi="Arial"/>
          <w:b w:val="false"/>
          <w:bCs w:val="false"/>
          <w:color w:val="FFF8E1"/>
          <w:sz w:val="20"/>
          <w:szCs w:val="20"/>
        </w:rPr>
        <w:t xml:space="preserve">   [20 Poin]</w:t>
      </w:r>
    </w:p>
    <w:p>
      <w:pPr>
        <w:shd w:fill="F5F5F5" w:val="clear"/>
        <w:spacing w:after="60" w:before="80"/>
        <w:ind w:left="140" w:right="140"/>
      </w:pPr>
      <w:r>
        <w:rPr>
          <w:rFonts w:ascii="Times New Roman" w:cs="Times New Roman" w:eastAsia="Times New Roman" w:hAnsi="Times New Roman"/>
          <w:i/>
          <w:iCs/>
          <w:color w:val="212121"/>
          <w:sz w:val="22"/>
          <w:szCs w:val="22"/>
        </w:rPr>
        <w:t xml:space="preserve">Indonesia saat ini menghadapi tekanan defisit neraca perdagangan di beberapa sektor akibat ketergantungan impor bahan baku dan teknologi. Dengan menggunakan minimal dua teori perdagangan internasional yang relevan, analisislah:</w:t>
      </w:r>
    </w:p>
    <w:p>
      <w:pPr>
        <w:spacing w:after="60" w:before="60"/>
        <w:ind w:left="480" w:hanging="280"/>
      </w:pPr>
      <w:r>
        <w:rPr>
          <w:rFonts w:ascii="Arial" w:cs="Arial" w:eastAsia="Arial" w:hAnsi="Arial"/>
          <w:b/>
          <w:bCs/>
          <w:color w:val="2E7D32"/>
          <w:sz w:val="22"/>
          <w:szCs w:val="22"/>
        </w:rPr>
        <w:t xml:space="preserve">a)	</w:t>
      </w:r>
      <w:r>
        <w:rPr>
          <w:rFonts w:ascii="Times New Roman" w:cs="Times New Roman" w:eastAsia="Times New Roman" w:hAnsi="Times New Roman"/>
          <w:color w:val="212121"/>
          <w:sz w:val="22"/>
          <w:szCs w:val="22"/>
        </w:rPr>
        <w:t xml:space="preserve">Faktor-faktor yang menentukan daya saing ekspor Indonesia di pasar global;</w:t>
      </w:r>
    </w:p>
    <w:p>
      <w:pPr>
        <w:spacing w:after="60" w:before="60"/>
        <w:ind w:left="480" w:hanging="280"/>
      </w:pPr>
      <w:r>
        <w:rPr>
          <w:rFonts w:ascii="Arial" w:cs="Arial" w:eastAsia="Arial" w:hAnsi="Arial"/>
          <w:b/>
          <w:bCs/>
          <w:color w:val="2E7D32"/>
          <w:sz w:val="22"/>
          <w:szCs w:val="22"/>
        </w:rPr>
        <w:t xml:space="preserve">b)	</w:t>
      </w:r>
      <w:r>
        <w:rPr>
          <w:rFonts w:ascii="Times New Roman" w:cs="Times New Roman" w:eastAsia="Times New Roman" w:hAnsi="Times New Roman"/>
          <w:color w:val="212121"/>
          <w:sz w:val="22"/>
          <w:szCs w:val="22"/>
        </w:rPr>
        <w:t xml:space="preserve">Kelebihan dan kekurangan kebijakan proteksionisme (tarif dan kuota impor) sebagai respons atas defisit neraca perdagangan;</w:t>
      </w:r>
    </w:p>
    <w:p>
      <w:pPr>
        <w:spacing w:after="60" w:before="60"/>
        <w:ind w:left="480" w:hanging="280"/>
      </w:pPr>
      <w:r>
        <w:rPr>
          <w:rFonts w:ascii="Arial" w:cs="Arial" w:eastAsia="Arial" w:hAnsi="Arial"/>
          <w:b/>
          <w:bCs/>
          <w:color w:val="2E7D32"/>
          <w:sz w:val="22"/>
          <w:szCs w:val="22"/>
        </w:rPr>
        <w:t xml:space="preserve">c)	</w:t>
      </w:r>
      <w:r>
        <w:rPr>
          <w:rFonts w:ascii="Times New Roman" w:cs="Times New Roman" w:eastAsia="Times New Roman" w:hAnsi="Times New Roman"/>
          <w:color w:val="212121"/>
          <w:sz w:val="22"/>
          <w:szCs w:val="22"/>
        </w:rPr>
        <w:t xml:space="preserve">Rekomendasi kebijakan berbasis prinsip ekonomi yang dapat memperkuat posisi perdagangan Indonesia dalam jangka menengah.</w:t>
      </w:r>
    </w:p>
    <w:p>
      <w:pPr>
        <w:spacing w:after="0" w:before="80"/>
      </w:pPr>
    </w:p>
    <w:p>
      <w:pPr>
        <w:spacing w:after="40" w:before="40"/>
      </w:pPr>
      <w:r>
        <w:rPr>
          <w:rFonts w:ascii="Arial" w:cs="Arial" w:eastAsia="Arial" w:hAnsi="Arial"/>
          <w:b/>
          <w:bCs/>
          <w:color w:val="2E7D32"/>
          <w:sz w:val="20"/>
          <w:szCs w:val="20"/>
        </w:rPr>
        <w:t xml:space="preserve">Jawaban:</w:t>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spacing w:after="0" w:before="80"/>
      </w:pPr>
    </w:p>
    <w:p>
      <w:pPr>
        <w:pBdr>
          <w:bottom w:val="single" w:color="F9A825" w:sz="6"/>
        </w:pBdr>
        <w:spacing w:after="120" w:before="120"/>
      </w:pPr>
    </w:p>
    <w:p>
      <w:pPr>
        <w:spacing w:after="0" w:before="120"/>
      </w:pPr>
    </w:p>
    <w:p>
      <w:pPr>
        <w:shd w:fill="1B5E20" w:val="clear"/>
        <w:spacing w:after="60" w:before="80"/>
        <w:ind w:left="140" w:right="140"/>
      </w:pPr>
      <w:r>
        <w:rPr>
          <w:rFonts w:ascii="Arial" w:cs="Arial" w:eastAsia="Arial" w:hAnsi="Arial"/>
          <w:b/>
          <w:bCs/>
          <w:color w:val="F9A825"/>
          <w:sz w:val="24"/>
          <w:szCs w:val="24"/>
        </w:rPr>
        <w:t xml:space="preserve">Soal 27 — </w:t>
      </w:r>
      <w:r>
        <w:rPr>
          <w:rFonts w:ascii="Arial" w:cs="Arial" w:eastAsia="Arial" w:hAnsi="Arial"/>
          <w:b/>
          <w:bCs/>
          <w:color w:val="FFFFFF"/>
          <w:sz w:val="24"/>
          <w:szCs w:val="24"/>
        </w:rPr>
        <w:t xml:space="preserve">Nilai Tukar &amp; Kebijakan Moneter</w:t>
      </w:r>
      <w:r>
        <w:rPr>
          <w:rFonts w:ascii="Arial" w:cs="Arial" w:eastAsia="Arial" w:hAnsi="Arial"/>
          <w:b w:val="false"/>
          <w:bCs w:val="false"/>
          <w:color w:val="FFF8E1"/>
          <w:sz w:val="20"/>
          <w:szCs w:val="20"/>
        </w:rPr>
        <w:t xml:space="preserve">   [20 Poin]</w:t>
      </w:r>
    </w:p>
    <w:p>
      <w:pPr>
        <w:shd w:fill="F5F5F5" w:val="clear"/>
        <w:spacing w:after="60" w:before="80"/>
        <w:ind w:left="140" w:right="140"/>
      </w:pPr>
      <w:r>
        <w:rPr>
          <w:rFonts w:ascii="Times New Roman" w:cs="Times New Roman" w:eastAsia="Times New Roman" w:hAnsi="Times New Roman"/>
          <w:i/>
          <w:iCs/>
          <w:color w:val="212121"/>
          <w:sz w:val="22"/>
          <w:szCs w:val="22"/>
        </w:rPr>
        <w:t xml:space="preserve">Rupiah melemah ke level Rp 17.475/USD pada Mei 2026 akibat tekanan simultan dari faktor eksternal (suku bunga tinggi The Fed, geopolitik global) dan faktor domestik (defisit fiskal). Bank Indonesia merespons dengan policy mix yang mencakup kebijakan suku bunga, intervensi valas, dan kebijakan makroprudensial. Analisislah:</w:t>
      </w:r>
    </w:p>
    <w:p>
      <w:pPr>
        <w:spacing w:after="60" w:before="60"/>
        <w:ind w:left="480" w:hanging="280"/>
      </w:pPr>
      <w:r>
        <w:rPr>
          <w:rFonts w:ascii="Arial" w:cs="Arial" w:eastAsia="Arial" w:hAnsi="Arial"/>
          <w:b/>
          <w:bCs/>
          <w:color w:val="2E7D32"/>
          <w:sz w:val="22"/>
          <w:szCs w:val="22"/>
        </w:rPr>
        <w:t xml:space="preserve">a)	</w:t>
      </w:r>
      <w:r>
        <w:rPr>
          <w:rFonts w:ascii="Times New Roman" w:cs="Times New Roman" w:eastAsia="Times New Roman" w:hAnsi="Times New Roman"/>
          <w:color w:val="212121"/>
          <w:sz w:val="22"/>
          <w:szCs w:val="22"/>
        </w:rPr>
        <w:t xml:space="preserve">Mekanisme kerja masing-masing instrumen policy mix Bank Indonesia tersebut dalam menjaga stabilitas rupiah;</w:t>
      </w:r>
    </w:p>
    <w:p>
      <w:pPr>
        <w:spacing w:after="60" w:before="60"/>
        <w:ind w:left="480" w:hanging="280"/>
      </w:pPr>
      <w:r>
        <w:rPr>
          <w:rFonts w:ascii="Arial" w:cs="Arial" w:eastAsia="Arial" w:hAnsi="Arial"/>
          <w:b/>
          <w:bCs/>
          <w:color w:val="2E7D32"/>
          <w:sz w:val="22"/>
          <w:szCs w:val="22"/>
        </w:rPr>
        <w:t xml:space="preserve">b)	</w:t>
      </w:r>
      <w:r>
        <w:rPr>
          <w:rFonts w:ascii="Times New Roman" w:cs="Times New Roman" w:eastAsia="Times New Roman" w:hAnsi="Times New Roman"/>
          <w:color w:val="212121"/>
          <w:sz w:val="22"/>
          <w:szCs w:val="22"/>
        </w:rPr>
        <w:t xml:space="preserve">Mengapa intervensi valas saja tidak cukup untuk memulihkan stabilitas rupiah dalam jangka panjang?</w:t>
      </w:r>
    </w:p>
    <w:p>
      <w:pPr>
        <w:spacing w:after="60" w:before="60"/>
        <w:ind w:left="480" w:hanging="280"/>
      </w:pPr>
      <w:r>
        <w:rPr>
          <w:rFonts w:ascii="Arial" w:cs="Arial" w:eastAsia="Arial" w:hAnsi="Arial"/>
          <w:b/>
          <w:bCs/>
          <w:color w:val="2E7D32"/>
          <w:sz w:val="22"/>
          <w:szCs w:val="22"/>
        </w:rPr>
        <w:t xml:space="preserve">c)	</w:t>
      </w:r>
      <w:r>
        <w:rPr>
          <w:rFonts w:ascii="Times New Roman" w:cs="Times New Roman" w:eastAsia="Times New Roman" w:hAnsi="Times New Roman"/>
          <w:color w:val="212121"/>
          <w:sz w:val="22"/>
          <w:szCs w:val="22"/>
        </w:rPr>
        <w:t xml:space="preserve">Apa yang dimaksud dengan konsep interest rate parity dan bagaimana ia relevan dalam menjelaskan tekanan terhadap rupiah?</w:t>
      </w:r>
    </w:p>
    <w:p>
      <w:pPr>
        <w:spacing w:after="0" w:before="80"/>
      </w:pPr>
    </w:p>
    <w:p>
      <w:pPr>
        <w:spacing w:after="40" w:before="40"/>
      </w:pPr>
      <w:r>
        <w:rPr>
          <w:rFonts w:ascii="Arial" w:cs="Arial" w:eastAsia="Arial" w:hAnsi="Arial"/>
          <w:b/>
          <w:bCs/>
          <w:color w:val="2E7D32"/>
          <w:sz w:val="20"/>
          <w:szCs w:val="20"/>
        </w:rPr>
        <w:t xml:space="preserve">Jawaban:</w:t>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spacing w:after="0" w:before="80"/>
      </w:pPr>
    </w:p>
    <w:p>
      <w:pPr>
        <w:pBdr>
          <w:bottom w:val="single" w:color="F9A825" w:sz="6"/>
        </w:pBdr>
        <w:spacing w:after="120" w:before="120"/>
      </w:pPr>
    </w:p>
    <w:p>
      <w:pPr>
        <w:spacing w:after="0" w:before="120"/>
      </w:pPr>
    </w:p>
    <w:p>
      <w:pPr>
        <w:shd w:fill="1B5E20" w:val="clear"/>
        <w:spacing w:after="60" w:before="80"/>
        <w:ind w:left="140" w:right="140"/>
      </w:pPr>
      <w:r>
        <w:rPr>
          <w:rFonts w:ascii="Arial" w:cs="Arial" w:eastAsia="Arial" w:hAnsi="Arial"/>
          <w:b/>
          <w:bCs/>
          <w:color w:val="F9A825"/>
          <w:sz w:val="24"/>
          <w:szCs w:val="24"/>
        </w:rPr>
        <w:t xml:space="preserve">Soal 28 — </w:t>
      </w:r>
      <w:r>
        <w:rPr>
          <w:rFonts w:ascii="Arial" w:cs="Arial" w:eastAsia="Arial" w:hAnsi="Arial"/>
          <w:b/>
          <w:bCs/>
          <w:color w:val="FFFFFF"/>
          <w:sz w:val="24"/>
          <w:szCs w:val="24"/>
        </w:rPr>
        <w:t xml:space="preserve">Ekonomi Internasional dalam Perspektif Islam</w:t>
      </w:r>
      <w:r>
        <w:rPr>
          <w:rFonts w:ascii="Arial" w:cs="Arial" w:eastAsia="Arial" w:hAnsi="Arial"/>
          <w:b w:val="false"/>
          <w:bCs w:val="false"/>
          <w:color w:val="FFF8E1"/>
          <w:sz w:val="20"/>
          <w:szCs w:val="20"/>
        </w:rPr>
        <w:t xml:space="preserve">   [20 Poin]</w:t>
      </w:r>
    </w:p>
    <w:p>
      <w:pPr>
        <w:shd w:fill="F5F5F5" w:val="clear"/>
        <w:spacing w:after="60" w:before="80"/>
        <w:ind w:left="140" w:right="140"/>
      </w:pPr>
      <w:r>
        <w:rPr>
          <w:rFonts w:ascii="Times New Roman" w:cs="Times New Roman" w:eastAsia="Times New Roman" w:hAnsi="Times New Roman"/>
          <w:i/>
          <w:iCs/>
          <w:color w:val="212121"/>
          <w:sz w:val="22"/>
          <w:szCs w:val="22"/>
        </w:rPr>
        <w:t xml:space="preserve">Sistem keuangan internasional saat ini didominasi oleh mekanisme berbasis bunga (interest-based), termasuk dalam pembiayaan perdagangan internasional (trade finance), utang luar negeri, dan sistem moneter global. Analisislah secara kritis:</w:t>
      </w:r>
    </w:p>
    <w:p>
      <w:pPr>
        <w:spacing w:after="60" w:before="60"/>
        <w:ind w:left="480" w:hanging="280"/>
      </w:pPr>
      <w:r>
        <w:rPr>
          <w:rFonts w:ascii="Arial" w:cs="Arial" w:eastAsia="Arial" w:hAnsi="Arial"/>
          <w:b/>
          <w:bCs/>
          <w:color w:val="2E7D32"/>
          <w:sz w:val="22"/>
          <w:szCs w:val="22"/>
        </w:rPr>
        <w:t xml:space="preserve">a)	</w:t>
      </w:r>
      <w:r>
        <w:rPr>
          <w:rFonts w:ascii="Times New Roman" w:cs="Times New Roman" w:eastAsia="Times New Roman" w:hAnsi="Times New Roman"/>
          <w:color w:val="212121"/>
          <w:sz w:val="22"/>
          <w:szCs w:val="22"/>
        </w:rPr>
        <w:t xml:space="preserve">Apa problematika sistem moneter internasional berbasis dolar dan bunga menurut perspektif ekonomi Islam?</w:t>
      </w:r>
    </w:p>
    <w:p>
      <w:pPr>
        <w:spacing w:after="60" w:before="60"/>
        <w:ind w:left="480" w:hanging="280"/>
      </w:pPr>
      <w:r>
        <w:rPr>
          <w:rFonts w:ascii="Arial" w:cs="Arial" w:eastAsia="Arial" w:hAnsi="Arial"/>
          <w:b/>
          <w:bCs/>
          <w:color w:val="2E7D32"/>
          <w:sz w:val="22"/>
          <w:szCs w:val="22"/>
        </w:rPr>
        <w:t xml:space="preserve">b)	</w:t>
      </w:r>
      <w:r>
        <w:rPr>
          <w:rFonts w:ascii="Times New Roman" w:cs="Times New Roman" w:eastAsia="Times New Roman" w:hAnsi="Times New Roman"/>
          <w:color w:val="212121"/>
          <w:sz w:val="22"/>
          <w:szCs w:val="22"/>
        </w:rPr>
        <w:t xml:space="preserve">Bagaimana instrumen keuangan Islam seperti sukuk global, murabahah ekspor, dan waqf produktif dapat menjadi alternatif dalam mendukung perdagangan internasional yang lebih adil?</w:t>
      </w:r>
    </w:p>
    <w:p>
      <w:pPr>
        <w:spacing w:after="60" w:before="60"/>
        <w:ind w:left="480" w:hanging="280"/>
      </w:pPr>
      <w:r>
        <w:rPr>
          <w:rFonts w:ascii="Arial" w:cs="Arial" w:eastAsia="Arial" w:hAnsi="Arial"/>
          <w:b/>
          <w:bCs/>
          <w:color w:val="2E7D32"/>
          <w:sz w:val="22"/>
          <w:szCs w:val="22"/>
        </w:rPr>
        <w:t xml:space="preserve">c)	</w:t>
      </w:r>
      <w:r>
        <w:rPr>
          <w:rFonts w:ascii="Times New Roman" w:cs="Times New Roman" w:eastAsia="Times New Roman" w:hAnsi="Times New Roman"/>
          <w:color w:val="212121"/>
          <w:sz w:val="22"/>
          <w:szCs w:val="22"/>
        </w:rPr>
        <w:t xml:space="preserve">Sejauh mana Indonesia sebagai negara mayoritas muslim telah mengimplementasikan prinsip ekonomi Islam dalam hubungan ekonomi internasionalnya? Berikan bukti empiris yang relevan!</w:t>
      </w:r>
    </w:p>
    <w:p>
      <w:pPr>
        <w:spacing w:after="0" w:before="80"/>
      </w:pPr>
    </w:p>
    <w:p>
      <w:pPr>
        <w:spacing w:after="40" w:before="40"/>
      </w:pPr>
      <w:r>
        <w:rPr>
          <w:rFonts w:ascii="Arial" w:cs="Arial" w:eastAsia="Arial" w:hAnsi="Arial"/>
          <w:b/>
          <w:bCs/>
          <w:color w:val="2E7D32"/>
          <w:sz w:val="20"/>
          <w:szCs w:val="20"/>
        </w:rPr>
        <w:t xml:space="preserve">Jawaban:</w:t>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spacing w:after="0" w:before="80"/>
      </w:pPr>
    </w:p>
    <w:p>
      <w:pPr>
        <w:pBdr>
          <w:bottom w:val="single" w:color="F9A825" w:sz="6"/>
        </w:pBdr>
        <w:spacing w:after="120" w:before="120"/>
      </w:pPr>
    </w:p>
    <w:p>
      <w:pPr>
        <w:spacing w:after="0" w:before="120"/>
      </w:pPr>
    </w:p>
    <w:p>
      <w:pPr>
        <w:shd w:fill="1B5E20" w:val="clear"/>
        <w:spacing w:after="60" w:before="80"/>
        <w:ind w:left="140" w:right="140"/>
      </w:pPr>
      <w:r>
        <w:rPr>
          <w:rFonts w:ascii="Arial" w:cs="Arial" w:eastAsia="Arial" w:hAnsi="Arial"/>
          <w:b/>
          <w:bCs/>
          <w:color w:val="F9A825"/>
          <w:sz w:val="24"/>
          <w:szCs w:val="24"/>
        </w:rPr>
        <w:t xml:space="preserve">Soal 29 — </w:t>
      </w:r>
      <w:r>
        <w:rPr>
          <w:rFonts w:ascii="Arial" w:cs="Arial" w:eastAsia="Arial" w:hAnsi="Arial"/>
          <w:b/>
          <w:bCs/>
          <w:color w:val="FFFFFF"/>
          <w:sz w:val="24"/>
          <w:szCs w:val="24"/>
        </w:rPr>
        <w:t xml:space="preserve">Integrasi Ekonomi Regional &amp; Global</w:t>
      </w:r>
      <w:r>
        <w:rPr>
          <w:rFonts w:ascii="Arial" w:cs="Arial" w:eastAsia="Arial" w:hAnsi="Arial"/>
          <w:b w:val="false"/>
          <w:bCs w:val="false"/>
          <w:color w:val="FFF8E1"/>
          <w:sz w:val="20"/>
          <w:szCs w:val="20"/>
        </w:rPr>
        <w:t xml:space="preserve">   [20 Poin]</w:t>
      </w:r>
    </w:p>
    <w:p>
      <w:pPr>
        <w:shd w:fill="F5F5F5" w:val="clear"/>
        <w:spacing w:after="60" w:before="80"/>
        <w:ind w:left="140" w:right="140"/>
      </w:pPr>
      <w:r>
        <w:rPr>
          <w:rFonts w:ascii="Times New Roman" w:cs="Times New Roman" w:eastAsia="Times New Roman" w:hAnsi="Times New Roman"/>
          <w:i/>
          <w:iCs/>
          <w:color w:val="212121"/>
          <w:sz w:val="22"/>
          <w:szCs w:val="22"/>
        </w:rPr>
        <w:t xml:space="preserve">ASEAN Economic Community (AEC/MEA) dan RCEP (Regional Comprehensive Economic Partnership) adalah dua kerangka integrasi ekonomi kawasan yang diikuti Indonesia. Di sisi lain, tren deglobalisasi dan proteksionisme pasca-pandemi COVID-19 serta perang dagang AS-Tiongkok mengancam stabilitas perdagangan global. Analisislah:</w:t>
      </w:r>
    </w:p>
    <w:p>
      <w:pPr>
        <w:spacing w:after="60" w:before="60"/>
        <w:ind w:left="480" w:hanging="280"/>
      </w:pPr>
      <w:r>
        <w:rPr>
          <w:rFonts w:ascii="Arial" w:cs="Arial" w:eastAsia="Arial" w:hAnsi="Arial"/>
          <w:b/>
          <w:bCs/>
          <w:color w:val="2E7D32"/>
          <w:sz w:val="22"/>
          <w:szCs w:val="22"/>
        </w:rPr>
        <w:t xml:space="preserve">a)	</w:t>
      </w:r>
      <w:r>
        <w:rPr>
          <w:rFonts w:ascii="Times New Roman" w:cs="Times New Roman" w:eastAsia="Times New Roman" w:hAnsi="Times New Roman"/>
          <w:color w:val="212121"/>
          <w:sz w:val="22"/>
          <w:szCs w:val="22"/>
        </w:rPr>
        <w:t xml:space="preserve">Bedakan antara bentuk-bentuk integrasi ekonomi: Free Trade Area, Customs Union, Common Market, dan Economic Union. Posisikan AEC dan RCEP dalam taksonomi tersebut;</w:t>
      </w:r>
    </w:p>
    <w:p>
      <w:pPr>
        <w:spacing w:after="60" w:before="60"/>
        <w:ind w:left="480" w:hanging="280"/>
      </w:pPr>
      <w:r>
        <w:rPr>
          <w:rFonts w:ascii="Arial" w:cs="Arial" w:eastAsia="Arial" w:hAnsi="Arial"/>
          <w:b/>
          <w:bCs/>
          <w:color w:val="2E7D32"/>
          <w:sz w:val="22"/>
          <w:szCs w:val="22"/>
        </w:rPr>
        <w:t xml:space="preserve">b)	</w:t>
      </w:r>
      <w:r>
        <w:rPr>
          <w:rFonts w:ascii="Times New Roman" w:cs="Times New Roman" w:eastAsia="Times New Roman" w:hAnsi="Times New Roman"/>
          <w:color w:val="212121"/>
          <w:sz w:val="22"/>
          <w:szCs w:val="22"/>
        </w:rPr>
        <w:t xml:space="preserve">Apa peluang dan ancaman konkret yang dihadapi Indonesia dalam kerangka RCEP, terutama terkait persaingan dengan produk Tiongkok?</w:t>
      </w:r>
    </w:p>
    <w:p>
      <w:pPr>
        <w:spacing w:after="60" w:before="60"/>
        <w:ind w:left="480" w:hanging="280"/>
      </w:pPr>
      <w:r>
        <w:rPr>
          <w:rFonts w:ascii="Arial" w:cs="Arial" w:eastAsia="Arial" w:hAnsi="Arial"/>
          <w:b/>
          <w:bCs/>
          <w:color w:val="2E7D32"/>
          <w:sz w:val="22"/>
          <w:szCs w:val="22"/>
        </w:rPr>
        <w:t xml:space="preserve">c)	</w:t>
      </w:r>
      <w:r>
        <w:rPr>
          <w:rFonts w:ascii="Times New Roman" w:cs="Times New Roman" w:eastAsia="Times New Roman" w:hAnsi="Times New Roman"/>
          <w:color w:val="212121"/>
          <w:sz w:val="22"/>
          <w:szCs w:val="22"/>
        </w:rPr>
        <w:t xml:space="preserve">Bagaimana Indonesia seharusnya memposisikan diri dalam arsitektur perdagangan global yang semakin multipolar, dengan mempertimbangkan kepentingan nasional dan prinsip keadilan ekonomi Islam ('adalah iqtishadiyyah)?</w:t>
      </w:r>
    </w:p>
    <w:p>
      <w:pPr>
        <w:spacing w:after="0" w:before="80"/>
      </w:pPr>
    </w:p>
    <w:p>
      <w:pPr>
        <w:spacing w:after="40" w:before="40"/>
      </w:pPr>
      <w:r>
        <w:rPr>
          <w:rFonts w:ascii="Arial" w:cs="Arial" w:eastAsia="Arial" w:hAnsi="Arial"/>
          <w:b/>
          <w:bCs/>
          <w:color w:val="2E7D32"/>
          <w:sz w:val="20"/>
          <w:szCs w:val="20"/>
        </w:rPr>
        <w:t xml:space="preserve">Jawaban:</w:t>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pBdr>
          <w:bottom w:val="single" w:color="CCCCCC" w:sz="2"/>
        </w:pBdr>
        <w:spacing w:after="0" w:before="0" w:line="520"/>
      </w:pPr>
      <w:r>
        <w:rPr>
          <w:sz w:val="22"/>
          <w:szCs w:val="22"/>
        </w:rPr>
        <w:t xml:space="preserve"/>
      </w:r>
    </w:p>
    <w:p>
      <w:pPr>
        <w:spacing w:after="0" w:before="80"/>
      </w:pPr>
    </w:p>
    <w:p>
      <w:pPr>
        <w:pBdr>
          <w:bottom w:val="single" w:color="F9A825" w:sz="6"/>
        </w:pBdr>
        <w:spacing w:after="120" w:before="120"/>
      </w:pPr>
    </w:p>
    <w:p>
      <w:pPr>
        <w:spacing w:after="0" w:before="160"/>
      </w:pPr>
    </w:p>
    <w:p>
      <w:pPr>
        <w:spacing w:after="60" w:before="80"/>
        <w:jc w:val="right"/>
      </w:pPr>
      <w:r>
        <w:rPr>
          <w:rFonts w:ascii="Times New Roman" w:cs="Times New Roman" w:eastAsia="Times New Roman" w:hAnsi="Times New Roman"/>
          <w:color w:val="212121"/>
          <w:sz w:val="22"/>
          <w:szCs w:val="22"/>
        </w:rPr>
        <w:t xml:space="preserve">Bandung Barat, Juni 2026</w:t>
      </w:r>
    </w:p>
    <w:p>
      <w:pPr>
        <w:spacing w:after="40" w:before="40"/>
        <w:jc w:val="right"/>
      </w:pPr>
      <w:r>
        <w:rPr>
          <w:rFonts w:ascii="Times New Roman" w:cs="Times New Roman" w:eastAsia="Times New Roman" w:hAnsi="Times New Roman"/>
          <w:color w:val="212121"/>
          <w:sz w:val="22"/>
          <w:szCs w:val="22"/>
        </w:rPr>
        <w:t xml:space="preserve">Dosen Pengampu,</w:t>
      </w:r>
    </w:p>
    <w:p>
      <w:pPr>
        <w:spacing w:after="0" w:before="360"/>
      </w:pPr>
    </w:p>
    <w:p>
      <w:pPr>
        <w:pBdr>
          <w:top w:val="single" w:color="212121" w:sz="4"/>
        </w:pBdr>
        <w:spacing w:after="20" w:before="40"/>
        <w:jc w:val="right"/>
      </w:pPr>
      <w:r>
        <w:rPr>
          <w:rFonts w:ascii="Times New Roman" w:cs="Times New Roman" w:eastAsia="Times New Roman" w:hAnsi="Times New Roman"/>
          <w:b/>
          <w:bCs/>
          <w:color w:val="212121"/>
          <w:sz w:val="22"/>
          <w:szCs w:val="22"/>
        </w:rPr>
        <w:t xml:space="preserve">Izzuddin Edi Siswanto, Lc., M.A.</w:t>
      </w:r>
    </w:p>
    <w:p>
      <w:pPr>
        <w:spacing w:after="40" w:before="0"/>
        <w:jc w:val="right"/>
      </w:pPr>
      <w:r>
        <w:rPr>
          <w:rFonts w:ascii="Times New Roman" w:cs="Times New Roman" w:eastAsia="Times New Roman" w:hAnsi="Times New Roman"/>
          <w:color w:val="424242"/>
          <w:sz w:val="20"/>
          <w:szCs w:val="20"/>
        </w:rPr>
        <w:t xml:space="preserve">Wakil Ketua I Bidang Akademik</w:t>
      </w:r>
    </w:p>
    <w:p>
      <w:pPr>
        <w:spacing w:after="0" w:before="0"/>
        <w:jc w:val="right"/>
      </w:pPr>
      <w:r>
        <w:rPr>
          <w:rFonts w:ascii="Times New Roman" w:cs="Times New Roman" w:eastAsia="Times New Roman" w:hAnsi="Times New Roman"/>
          <w:color w:val="424242"/>
          <w:sz w:val="20"/>
          <w:szCs w:val="20"/>
        </w:rPr>
        <w:t xml:space="preserve">STEI Fitrah Insani</w:t>
      </w:r>
    </w:p>
    <w:p>
      <w:pPr>
        <w:spacing w:after="0" w:before="80"/>
      </w:pPr>
    </w:p>
    <w:p>
      <w:r>
        <w:br w:type="page"/>
      </w:r>
    </w:p>
    <w:p>
      <w:pPr>
        <w:pStyle w:val="Heading1"/>
        <w:pBdr>
          <w:bottom w:val="single" w:color="F9A825" w:sz="8"/>
        </w:pBdr>
        <w:shd w:fill="1B5E20" w:val="clear"/>
        <w:spacing w:after="120" w:before="200"/>
        <w:ind w:left="140" w:right="140"/>
      </w:pPr>
      <w:r>
        <w:rPr>
          <w:rFonts w:ascii="Arial" w:cs="Arial" w:eastAsia="Arial" w:hAnsi="Arial"/>
          <w:b/>
          <w:bCs/>
          <w:color w:val="FFFFFF"/>
          <w:sz w:val="28"/>
          <w:szCs w:val="28"/>
        </w:rPr>
        <w:t xml:space="preserve">RUBRIK PENILAIAN ESAI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1B5E20" w:sz="6"/>
              <w:left w:val="single" w:color="1B5E20" w:sz="6"/>
              <w:bottom w:val="single" w:color="1B5E20" w:sz="6"/>
              <w:right w:val="single" w:color="1B5E20" w:sz="6"/>
            </w:tcBorders>
            <w:shd w:fill="1B5E20"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bCs/>
                <w:color w:val="FFFFFF"/>
                <w:sz w:val="21"/>
                <w:szCs w:val="21"/>
              </w:rPr>
              <w:t xml:space="preserve">Aspek Penilaian Esai</w:t>
            </w:r>
          </w:p>
        </w:tc>
        <w:tc>
          <w:tcPr>
            <w:tcW w:type="dxa" w:w="2000"/>
            <w:tcBorders>
              <w:top w:val="single" w:color="1B5E20" w:sz="6"/>
              <w:left w:val="single" w:color="1B5E20" w:sz="6"/>
              <w:bottom w:val="single" w:color="1B5E20" w:sz="6"/>
              <w:right w:val="single" w:color="1B5E20" w:sz="6"/>
            </w:tcBorders>
            <w:shd w:fill="1B5E20"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bCs/>
                <w:color w:val="FFFFFF"/>
                <w:sz w:val="21"/>
                <w:szCs w:val="21"/>
              </w:rPr>
              <w:t xml:space="preserve">Bobot</w:t>
            </w:r>
          </w:p>
        </w:tc>
        <w:tc>
          <w:tcPr>
            <w:tcW w:type="dxa" w:w="2000"/>
            <w:tcBorders>
              <w:top w:val="single" w:color="1B5E20" w:sz="6"/>
              <w:left w:val="single" w:color="1B5E20" w:sz="6"/>
              <w:bottom w:val="single" w:color="1B5E20" w:sz="6"/>
              <w:right w:val="single" w:color="1B5E20" w:sz="6"/>
            </w:tcBorders>
            <w:shd w:fill="1B5E20"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b/>
                <w:bCs/>
                <w:color w:val="FFFFFF"/>
                <w:sz w:val="21"/>
                <w:szCs w:val="21"/>
              </w:rPr>
              <w:t xml:space="preserve">Nilai</w:t>
            </w:r>
          </w:p>
        </w:tc>
      </w:tr>
      <w:tr>
        <w:tc>
          <w:tcPr>
            <w:tcW w:type="dxa" w:w="536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color w:val="212121"/>
                <w:sz w:val="21"/>
                <w:szCs w:val="21"/>
              </w:rPr>
              <w:t xml:space="preserve">Ketepatan konsep dan teori yang digunakan</w:t>
            </w:r>
          </w:p>
        </w:tc>
        <w:tc>
          <w:tcPr>
            <w:tcW w:type="dxa" w:w="20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color w:val="212121"/>
                <w:sz w:val="21"/>
                <w:szCs w:val="21"/>
              </w:rPr>
              <w:t xml:space="preserve">6 poin</w:t>
            </w:r>
          </w:p>
        </w:tc>
        <w:tc>
          <w:tcPr>
            <w:tcW w:type="dxa" w:w="20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color w:val="212121"/>
                <w:sz w:val="21"/>
                <w:szCs w:val="21"/>
              </w:rPr>
              <w:t xml:space="preserve">....... / 6</w:t>
            </w:r>
          </w:p>
        </w:tc>
      </w:tr>
      <w:tr>
        <w:tc>
          <w:tcPr>
            <w:tcW w:type="dxa" w:w="536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color w:val="212121"/>
                <w:sz w:val="21"/>
                <w:szCs w:val="21"/>
              </w:rPr>
              <w:t xml:space="preserve">Kedalaman analisis dan kualitas argumentasi</w:t>
            </w:r>
          </w:p>
        </w:tc>
        <w:tc>
          <w:tcPr>
            <w:tcW w:type="dxa" w:w="200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color w:val="212121"/>
                <w:sz w:val="21"/>
                <w:szCs w:val="21"/>
              </w:rPr>
              <w:t xml:space="preserve">6 poin</w:t>
            </w:r>
          </w:p>
        </w:tc>
        <w:tc>
          <w:tcPr>
            <w:tcW w:type="dxa" w:w="200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color w:val="212121"/>
                <w:sz w:val="21"/>
                <w:szCs w:val="21"/>
              </w:rPr>
              <w:t xml:space="preserve">....... / 6</w:t>
            </w:r>
          </w:p>
        </w:tc>
      </w:tr>
      <w:tr>
        <w:tc>
          <w:tcPr>
            <w:tcW w:type="dxa" w:w="536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color w:val="212121"/>
                <w:sz w:val="21"/>
                <w:szCs w:val="21"/>
              </w:rPr>
              <w:t xml:space="preserve">Penggunaan contoh/data empiris yang relevan</w:t>
            </w:r>
          </w:p>
        </w:tc>
        <w:tc>
          <w:tcPr>
            <w:tcW w:type="dxa" w:w="20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color w:val="212121"/>
                <w:sz w:val="21"/>
                <w:szCs w:val="21"/>
              </w:rPr>
              <w:t xml:space="preserve">4 poin</w:t>
            </w:r>
          </w:p>
        </w:tc>
        <w:tc>
          <w:tcPr>
            <w:tcW w:type="dxa" w:w="20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color w:val="212121"/>
                <w:sz w:val="21"/>
                <w:szCs w:val="21"/>
              </w:rPr>
              <w:t xml:space="preserve">....... / 4</w:t>
            </w:r>
          </w:p>
        </w:tc>
      </w:tr>
      <w:tr>
        <w:tc>
          <w:tcPr>
            <w:tcW w:type="dxa" w:w="536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color w:val="212121"/>
                <w:sz w:val="21"/>
                <w:szCs w:val="21"/>
              </w:rPr>
              <w:t xml:space="preserve">Sistematika jawaban dan kualitas bahasa akademis</w:t>
            </w:r>
          </w:p>
        </w:tc>
        <w:tc>
          <w:tcPr>
            <w:tcW w:type="dxa" w:w="200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color w:val="212121"/>
                <w:sz w:val="21"/>
                <w:szCs w:val="21"/>
              </w:rPr>
              <w:t xml:space="preserve">4 poin</w:t>
            </w:r>
          </w:p>
        </w:tc>
        <w:tc>
          <w:tcPr>
            <w:tcW w:type="dxa" w:w="2000"/>
            <w:tcBorders>
              <w:top w:val="single" w:color="AAAAAA" w:sz="6"/>
              <w:left w:val="single" w:color="AAAAAA" w:sz="6"/>
              <w:bottom w:val="single" w:color="AAAAAA" w:sz="6"/>
              <w:right w:val="single" w:color="AAAAAA" w:sz="6"/>
            </w:tcBorders>
            <w:shd w:fill="FFFFFF"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color w:val="212121"/>
                <w:sz w:val="21"/>
                <w:szCs w:val="21"/>
              </w:rPr>
              <w:t xml:space="preserve">....... / 4</w:t>
            </w:r>
          </w:p>
        </w:tc>
      </w:tr>
      <w:tr>
        <w:tc>
          <w:tcPr>
            <w:tcW w:type="dxa" w:w="536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left"/>
            </w:pPr>
            <w:r>
              <w:rPr>
                <w:rFonts w:ascii="Times New Roman" w:cs="Times New Roman" w:eastAsia="Times New Roman" w:hAnsi="Times New Roman"/>
                <w:color w:val="212121"/>
                <w:sz w:val="21"/>
                <w:szCs w:val="21"/>
              </w:rPr>
              <w:t xml:space="preserve">TOTAL PER SOAL ESAI</w:t>
            </w:r>
          </w:p>
        </w:tc>
        <w:tc>
          <w:tcPr>
            <w:tcW w:type="dxa" w:w="20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color w:val="212121"/>
                <w:sz w:val="21"/>
                <w:szCs w:val="21"/>
              </w:rPr>
              <w:t xml:space="preserve">20 poin</w:t>
            </w:r>
          </w:p>
        </w:tc>
        <w:tc>
          <w:tcPr>
            <w:tcW w:type="dxa" w:w="2000"/>
            <w:tcBorders>
              <w:top w:val="single" w:color="AAAAAA" w:sz="6"/>
              <w:left w:val="single" w:color="AAAAAA" w:sz="6"/>
              <w:bottom w:val="single" w:color="AAAAAA" w:sz="6"/>
              <w:right w:val="single" w:color="AAAAAA" w:sz="6"/>
            </w:tcBorders>
            <w:shd w:fill="F5F5F5" w:val="clear"/>
            <w:tcMar>
              <w:top w:type="dxa" w:w="100"/>
              <w:left w:type="dxa" w:w="140"/>
              <w:bottom w:type="dxa" w:w="100"/>
              <w:right w:type="dxa" w:w="140"/>
            </w:tcMar>
          </w:tcPr>
          <w:p>
            <w:pPr>
              <w:spacing w:after="80" w:before="80" w:line="276"/>
              <w:jc w:val="center"/>
            </w:pPr>
            <w:r>
              <w:rPr>
                <w:rFonts w:ascii="Times New Roman" w:cs="Times New Roman" w:eastAsia="Times New Roman" w:hAnsi="Times New Roman"/>
                <w:color w:val="212121"/>
                <w:sz w:val="21"/>
                <w:szCs w:val="21"/>
              </w:rPr>
              <w:t xml:space="preserve">....... / 20</w:t>
            </w:r>
          </w:p>
        </w:tc>
      </w:tr>
    </w:tbl>
    <w:p>
      <w:pPr>
        <w:spacing w:after="0" w:before="80"/>
      </w:pPr>
    </w:p>
    <w:p>
      <w:pPr>
        <w:pBdr>
          <w:left w:val="single" w:color="F9A825" w:sz="18"/>
        </w:pBdr>
        <w:shd w:fill="FFF8E1" w:val="clear"/>
        <w:spacing w:after="40" w:before="80"/>
        <w:ind w:left="120"/>
      </w:pPr>
      <w:r>
        <w:rPr>
          <w:rFonts w:ascii="Arial" w:cs="Arial" w:eastAsia="Arial" w:hAnsi="Arial"/>
          <w:b/>
          <w:bCs/>
          <w:color w:val="1B5E20"/>
          <w:sz w:val="22"/>
          <w:szCs w:val="22"/>
        </w:rPr>
        <w:t xml:space="preserve">Catatan Teknis Soal</w:t>
      </w:r>
    </w:p>
    <w:p>
      <w:pPr>
        <w:spacing w:after="80" w:before="80" w:line="276"/>
        <w:jc w:val="left"/>
      </w:pPr>
      <w:r>
        <w:rPr>
          <w:rFonts w:ascii="Times New Roman" w:cs="Times New Roman" w:eastAsia="Times New Roman" w:hAnsi="Times New Roman"/>
          <w:color w:val="212121"/>
          <w:sz w:val="20"/>
          <w:szCs w:val="20"/>
        </w:rPr>
        <w:t xml:space="preserve">Soal ini mencakup seluruh ranah kognitif Bloom (C1-C6): pengetahuan, pemahaman, aplikasi, analisis, sintesis, dan evaluasi. Bagian A menguji C1-C3; Bagian B menguji C2-C4; Bagian C menguji C4-C6. Muatan kontekstual (stabilitas rupiah 2026, kebijakan BI, ASEAN/RCEP, perspektif ekonomi Islam) diintegrasikan untuk memastikan relevansi dengan realitas ekonomi terkini.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A825" w:sz="4"/>
      </w:pBdr>
      <w:spacing w:after="0" w:before="60"/>
      <w:jc w:val="center"/>
    </w:pPr>
    <w:r>
      <w:rPr>
        <w:rFonts w:ascii="Arial" w:cs="Arial" w:eastAsia="Arial" w:hAnsi="Arial"/>
        <w:color w:val="2E7D32"/>
        <w:sz w:val="16"/>
        <w:szCs w:val="16"/>
      </w:rPr>
      <w:t xml:space="preserve">MKI 11310 / MKI 12310 | Izzuddin Edi Siswanto, Lc., M.A. | Kerjakan dengan Jujur &amp; Bertanggung Jawab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A825" w:sz="4"/>
      </w:pBdr>
      <w:spacing w:after="60" w:before="0"/>
      <w:jc w:val="right"/>
    </w:pPr>
    <w:r>
      <w:rPr>
        <w:rFonts w:ascii="Arial" w:cs="Arial" w:eastAsia="Arial" w:hAnsi="Arial"/>
        <w:color w:val="2E7D32"/>
        <w:sz w:val="16"/>
        <w:szCs w:val="16"/>
      </w:rPr>
      <w:t xml:space="preserve">UAS Ekonomi Internasional | STEI Fitrah Insani | TA 2025/2026</w:t>
    </w:r>
    <w:r>
      <w:rPr>
        <w:rFonts w:ascii="Arial" w:cs="Arial" w:eastAsia="Arial" w:hAnsi="Arial"/>
        <w:color w:val="424242"/>
        <w:sz w:val="16"/>
        <w:szCs w:val="16"/>
      </w:rPr>
      <w:t xml:space="preserve">  |  Hal.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pPr>
        <w:ind w:left="480" w:hanging="280"/>
      </w:pPr>
    </w:lvl>
  </w:abstractNum>
  <w:abstractNum w:abstractNumId="3" w15:restartNumberingAfterBreak="0">
    <w:multiLevelType w:val="hybridMultilevel"/>
    <w:lvl w:ilvl="0" w15:tentative="1">
      <w:start w:val="1"/>
      <w:numFmt w:val="decimal"/>
      <w:lvlText w:val="%1."/>
      <w:lvlJc w:val="left"/>
      <w:pPr>
        <w:ind w:left="360" w:hanging="280"/>
      </w:pPr>
    </w:lvl>
  </w:abstractNum>
  <w:abstractNum w:abstractNumId="4" w15:restartNumberingAfterBreak="0">
    <w:multiLevelType w:val="hybridMultilevel"/>
    <w:lvl w:ilvl="0" w15:tentative="1">
      <w:start w:val="1"/>
      <w:numFmt w:val="lowerLetter"/>
      <w:lvlText w:val="%1)"/>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B5E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2026-06-07T08:53:56.778Z</dcterms:created>
  <dcterms:modified xsi:type="dcterms:W3CDTF">2026-06-07T08:53:56.790Z</dcterms:modified>
</cp:coreProperties>
</file>

<file path=docProps/custom.xml><?xml version="1.0" encoding="utf-8"?>
<Properties xmlns="http://schemas.openxmlformats.org/officeDocument/2006/custom-properties" xmlns:vt="http://schemas.openxmlformats.org/officeDocument/2006/docPropsVTypes"/>
</file>