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LAPORAN UJI PLAGIARISME</w:t>
      </w:r>
    </w:p>
    <w:p>
      <w:pPr>
        <w:spacing w:after="160"/>
        <w:jc w:val="center"/>
      </w:pPr>
      <w:r>
        <w:rPr>
          <w:color w:val="555555"/>
          <w:sz w:val="18"/>
        </w:rPr>
        <w:t>Kode: F-WK1-06-05   |   Jenis: Arsip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Mahasiswa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  /  NIM: _____________</w:t>
            </w:r>
          </w:p>
        </w:tc>
      </w:tr>
      <w:tr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Judul Skripsi</w:t>
            </w:r>
          </w:p>
        </w:tc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Software yang Digunakan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Pengujian</w:t>
            </w:r>
          </w:p>
        </w:tc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Similarity Index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 % (Batas maksimal: 20%)</w:t>
            </w:r>
          </w:p>
        </w:tc>
      </w:tr>
      <w:tr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Status</w:t>
            </w:r>
          </w:p>
        </w:tc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☐ LULUS (&lt; 20%)    ☐ TIDAK LULUS (≥ 20%) — perlu revisi</w:t>
            </w:r>
          </w:p>
        </w:tc>
      </w:tr>
    </w:tbl>
    <w:p/>
    <w:p>
      <w:pPr>
        <w:spacing w:after="120"/>
        <w:jc w:val="both"/>
      </w:pPr>
      <w:r>
        <w:rPr>
          <w:b/>
          <w:i w:val="0"/>
          <w:color w:val="000000"/>
          <w:sz w:val="20"/>
        </w:rPr>
        <w:t>RINCIAN SIMILARITY PER SUMBER: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765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Sumber (URL/Judul)</w:t>
            </w:r>
          </w:p>
        </w:tc>
        <w:tc>
          <w:tcPr>
            <w:tcW w:type="dxa" w:w="158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Persentase Kesamaan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765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76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765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76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765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</w:tr>
    </w:tbl>
    <w:p/>
    <w:p>
      <w:pPr>
        <w:spacing w:after="120"/>
        <w:jc w:val="both"/>
      </w:pPr>
      <w:r>
        <w:rPr>
          <w:b w:val="0"/>
          <w:i w:val="0"/>
          <w:color w:val="000000"/>
          <w:sz w:val="20"/>
        </w:rPr>
        <w:t>Laporan ini dilampirkan pada Formulir Pendaftaran Sidang Skripsi.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Mahasiswa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Kaprodi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F-WK1-06-05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F-WK1-06-05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