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KEHADIRAN MAHASISWA PER MATA KULIAH</w:t>
      </w:r>
    </w:p>
    <w:p>
      <w:pPr>
        <w:spacing w:after="160"/>
        <w:jc w:val="center"/>
      </w:pPr>
      <w:r>
        <w:rPr>
          <w:color w:val="555555"/>
          <w:sz w:val="18"/>
        </w:rPr>
        <w:t>Kode: F-PRODI-03-02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c>
          <w:tcPr>
            <w:tcW w:type="dxa" w:w="28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6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P2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P3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P4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P5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P6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P7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P8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P9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P10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P11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P12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P13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P14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P15</w:t>
            </w:r>
          </w:p>
        </w:tc>
        <w:tc>
          <w:tcPr>
            <w:tcW w:type="dxa" w:w="31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P16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  <w:tr>
        <w:tc>
          <w:tcPr>
            <w:tcW w:type="dxa" w:w="28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96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≥75%</w:t>
              <w:br/>
              <w:t>☐ &lt;75%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F-PRODI-03-02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F-PRODI-03-02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