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PROYEKSI KELULUSAN MAHASISWA PER ANGKATAN</w:t>
      </w:r>
    </w:p>
    <w:p>
      <w:pPr>
        <w:spacing w:after="160"/>
        <w:jc w:val="center"/>
      </w:pPr>
      <w:r>
        <w:rPr>
          <w:color w:val="555555"/>
          <w:sz w:val="18"/>
        </w:rPr>
        <w:t>Kode: F-PRODI-06-07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Lulus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Sisa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Proyeksi</w:t>
              <w:br/>
              <w:t>Lulus Semester ke-</w:t>
            </w:r>
          </w:p>
        </w:tc>
        <w:tc>
          <w:tcPr>
            <w:tcW w:type="dxa" w:w="136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Tepat waktu</w:t>
              <w:br/>
              <w:t>☐ Maks 8 sem</w:t>
              <w:br/>
              <w:t>☐ Berisiko 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Proyeksi lulus tepat waktu (≤8 semester)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Proyeksi lulus terlambat (9–14 semester)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Berisiko DO (&gt; 14 semester atau IPK &lt; 2,00 berulang)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F-PRODI-06-07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