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2"/>
          <w:szCs w:val="32"/>
        </w:rPr>
        <w:t xml:space="preserve">RENCANA PELAKSANAAN SEMESTER</w:t>
      </w:r>
    </w:p>
    <w:p>
      <w:pPr>
        <w:spacing w:after="360"/>
        <w:jc w:val="center"/>
      </w:pPr>
      <w:r>
        <w:rPr>
          <w:rFonts w:ascii="Calibri" w:cs="Calibri" w:eastAsia="Calibri" w:hAnsi="Calibri"/>
          <w:b/>
          <w:bCs/>
          <w:sz w:val="26"/>
          <w:szCs w:val="26"/>
        </w:rPr>
        <w:t xml:space="preserve">Mata Kuliah: Manajemen Strategis</w:t>
      </w:r>
    </w:p>
    <w:p>
      <w:pPr>
        <w:pStyle w:val="Heading1"/>
      </w:pPr>
      <w:r>
        <w:t xml:space="preserve">1. IDENTITAS MATA KULIAH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Nama Mata Kuliah</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Manajemen Strategis</w:t>
            </w:r>
          </w:p>
        </w:tc>
      </w:tr>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Kode Mata Kuliah</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MK-301</w:t>
            </w:r>
          </w:p>
        </w:tc>
      </w:tr>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Kredit</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3 SKS (3-0)</w:t>
            </w:r>
          </w:p>
        </w:tc>
      </w:tr>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Semester</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Ganjil (5)</w:t>
            </w:r>
          </w:p>
        </w:tc>
      </w:tr>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Prasyarat</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Manajemen Operasional (MK-201)</w:t>
            </w:r>
          </w:p>
        </w:tc>
      </w:tr>
      <w:tr>
        <w:tc>
          <w:tcPr>
            <w:tcW w:type="dxa" w:w="280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rPr>
                <w:b/>
                <w:bCs/>
              </w:rPr>
              <w:t xml:space="preserve">Dosen Pengampu</w:t>
            </w:r>
          </w:p>
        </w:tc>
        <w:tc>
          <w:tcPr>
            <w:tcW w:type="dxa" w:w="656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Ir. Izzuddin, M.T., Ph.D.</w:t>
            </w:r>
          </w:p>
        </w:tc>
      </w:tr>
    </w:tbl>
    <w:p>
      <w:pPr>
        <w:spacing w:after="240"/>
      </w:pPr>
      <w:r>
        <w:t xml:space="preserve"/>
      </w:r>
    </w:p>
    <w:p>
      <w:pPr>
        <w:pStyle w:val="Heading1"/>
      </w:pPr>
      <w:r>
        <w:t xml:space="preserve">2. CAPAIAN PEMBELAJARAN (LEARNING OUTCOMES)</w:t>
      </w:r>
    </w:p>
    <w:p>
      <w:pPr>
        <w:pStyle w:val="Heading2"/>
      </w:pPr>
      <w:r>
        <w:t xml:space="preserve">2.1 Capaian Pembelajaran Mata Kuliah</w:t>
      </w:r>
    </w:p>
    <w:p>
      <w:pPr>
        <w:spacing w:after="120"/>
      </w:pPr>
      <w:r>
        <w:rPr>
          <w:b/>
          <w:bCs/>
        </w:rPr>
        <w:t xml:space="preserve">Setelah menyelesaikan mata kuliah ini, mahasiswa diharapkan mampu:</w:t>
      </w:r>
    </w:p>
    <w:p>
      <w:pPr>
        <w:pStyle w:val="ListParagraph"/>
        <w:numPr>
          <w:ilvl w:val="0"/>
          <w:numId w:val="2"/>
        </w:numPr>
        <w:spacing w:after="80"/>
      </w:pPr>
      <w:r>
        <w:t xml:space="preserve">Menjelaskan konsep fundamental manajemen strategis dan aplikasinya dalam organisasi modern</w:t>
      </w:r>
    </w:p>
    <w:p>
      <w:pPr>
        <w:pStyle w:val="ListParagraph"/>
        <w:numPr>
          <w:ilvl w:val="0"/>
          <w:numId w:val="2"/>
        </w:numPr>
        <w:spacing w:after="80"/>
      </w:pPr>
      <w:r>
        <w:t xml:space="preserve">Melakukan analisis lingkungan eksternal dan internal menggunakan framework standar (PEST, SWOT)</w:t>
      </w:r>
    </w:p>
    <w:p>
      <w:pPr>
        <w:pStyle w:val="ListParagraph"/>
        <w:numPr>
          <w:ilvl w:val="0"/>
          <w:numId w:val="2"/>
        </w:numPr>
        <w:spacing w:after="80"/>
      </w:pPr>
      <w:r>
        <w:t xml:space="preserve">Merumuskan strategi bisnis yang komprehensif berdasarkan positioning dan competitive advantage</w:t>
      </w:r>
    </w:p>
    <w:p>
      <w:pPr>
        <w:pStyle w:val="ListParagraph"/>
        <w:numPr>
          <w:ilvl w:val="0"/>
          <w:numId w:val="2"/>
        </w:numPr>
        <w:spacing w:after="80"/>
      </w:pPr>
      <w:r>
        <w:t xml:space="preserve">Mengimplementasikan strategi melalui struktur organisasi, proses, dan sistem manajemen</w:t>
      </w:r>
    </w:p>
    <w:p>
      <w:pPr>
        <w:pStyle w:val="ListParagraph"/>
        <w:numPr>
          <w:ilvl w:val="0"/>
          <w:numId w:val="2"/>
        </w:numPr>
        <w:spacing w:after="240"/>
      </w:pPr>
      <w:r>
        <w:t xml:space="preserve">Mengevaluasi kinerja strategis dan melakukan penyesuaian strategi berdasarkan monitoring berkelanjutan</w:t>
      </w:r>
    </w:p>
    <w:p>
      <w:pPr>
        <w:pStyle w:val="Heading1"/>
      </w:pPr>
      <w:r>
        <w:t xml:space="preserve">3. DESKRIPSI SINGKAT</w:t>
      </w:r>
    </w:p>
    <w:p>
      <w:pPr>
        <w:spacing w:after="240"/>
        <w:jc w:val="both"/>
      </w:pPr>
      <w:r>
        <w:t xml:space="preserve">Manajemen Strategis adalah mata kuliah yang mengajarkan pendekatan sistematis untuk merencanakan dan melaksanakan strategi organisasi guna mencapai keunggulan kompetitif berkelanjutan. Mata kuliah ini mencakup analisis lingkungan bisnis, formulasi strategi, implementasi, dan evaluasi kinerja strategis. Melalui studi kasus, simulasi, dan proyek kelompok, mahasiswa belajar menerapkan konsep strategis dalam konteks nyata dunia bisnis modern yang dinamis dan kompetitif.</w:t>
      </w:r>
    </w:p>
    <w:p>
      <w:pPr>
        <w:pStyle w:val="Heading1"/>
      </w:pPr>
      <w:r>
        <w:t xml:space="preserve">4. POKOK BAHASAN PER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80"/>
        <w:gridCol w:w="5480"/>
      </w:tblGrid>
      <w:tr>
        <w:tc>
          <w:tcPr>
            <w:tcW w:type="dxa" w:w="1200"/>
            <w:tcBorders>
              <w:top w:val="single" w:color="000000" w:sz="6"/>
              <w:left w:val="single" w:color="000000" w:sz="6"/>
              <w:bottom w:val="single" w:color="000000" w:sz="6"/>
              <w:right w:val="single" w:color="000000" w:sz="6"/>
            </w:tcBorders>
            <w:shd w:fill="1F4E78" w:val="clear"/>
            <w:tcMar>
              <w:top w:type="dxa" w:w="80"/>
              <w:left w:type="dxa" w:w="80"/>
              <w:bottom w:type="dxa" w:w="80"/>
              <w:right w:type="dxa" w:w="80"/>
            </w:tcMar>
          </w:tcPr>
          <w:p>
            <w:r>
              <w:rPr>
                <w:b/>
                <w:bCs/>
                <w:color w:val="FFFFFF"/>
              </w:rPr>
              <w:t xml:space="preserve">Minggu</w:t>
            </w:r>
          </w:p>
        </w:tc>
        <w:tc>
          <w:tcPr>
            <w:tcW w:type="dxa" w:w="2680"/>
            <w:tcBorders>
              <w:top w:val="single" w:color="000000" w:sz="6"/>
              <w:left w:val="single" w:color="000000" w:sz="6"/>
              <w:bottom w:val="single" w:color="000000" w:sz="6"/>
              <w:right w:val="single" w:color="000000" w:sz="6"/>
            </w:tcBorders>
            <w:shd w:fill="1F4E78" w:val="clear"/>
            <w:tcMar>
              <w:top w:type="dxa" w:w="80"/>
              <w:left w:type="dxa" w:w="80"/>
              <w:bottom w:type="dxa" w:w="80"/>
              <w:right w:type="dxa" w:w="80"/>
            </w:tcMar>
          </w:tcPr>
          <w:p>
            <w:r>
              <w:rPr>
                <w:b/>
                <w:bCs/>
                <w:color w:val="FFFFFF"/>
              </w:rPr>
              <w:t xml:space="preserve">Topik</w:t>
            </w:r>
          </w:p>
        </w:tc>
        <w:tc>
          <w:tcPr>
            <w:tcW w:type="dxa" w:w="5480"/>
            <w:tcBorders>
              <w:top w:val="single" w:color="000000" w:sz="6"/>
              <w:left w:val="single" w:color="000000" w:sz="6"/>
              <w:bottom w:val="single" w:color="000000" w:sz="6"/>
              <w:right w:val="single" w:color="000000" w:sz="6"/>
            </w:tcBorders>
            <w:shd w:fill="1F4E78" w:val="clear"/>
            <w:tcMar>
              <w:top w:type="dxa" w:w="80"/>
              <w:left w:type="dxa" w:w="80"/>
              <w:bottom w:type="dxa" w:w="80"/>
              <w:right w:type="dxa" w:w="80"/>
            </w:tcMar>
          </w:tcPr>
          <w:p>
            <w:r>
              <w:rPr>
                <w:b/>
                <w:bCs/>
                <w:color w:val="FFFFFF"/>
              </w:rPr>
              <w:t xml:space="preserve">Uraian Topik &amp; Aktivitas Pembelajaran</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1</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Pengantar Manajemen Strategis</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Konsep dasar, evolusi, dan pendekatan manajemen strategis. Peran manager strategis dalam organisasi.</w:t>
            </w:r>
          </w:p>
          <w:p>
            <w:r>
              <w:rPr>
                <w:b/>
                <w:bCs/>
              </w:rPr>
              <w:t xml:space="preserve">Aktivitas: </w:t>
            </w:r>
            <w:r>
              <w:t xml:space="preserve">Diskusi kelas, studi kasus introduksi</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2</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Visi, Misi, Nilai</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Formulasi visi dan misi yang efektif. Nilai organisasi dan budaya korporat. Balanced Scorecard.</w:t>
            </w:r>
          </w:p>
          <w:p>
            <w:r>
              <w:rPr>
                <w:b/>
                <w:bCs/>
              </w:rPr>
              <w:t xml:space="preserve">Aktivitas: </w:t>
            </w:r>
            <w:r>
              <w:t xml:space="preserve">Workshop visi-misi, analisis perusahaan</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3</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Analisis Lingkungan Eksternal</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pPr>
              <w:spacing w:after="80"/>
            </w:pPr>
            <w:r>
              <w:t xml:space="preserve">Analisis PEST (Politik, Ekonomi, Sosial, Teknologi). Tren pasar dan industri. Five Forces Porter.</w:t>
            </w:r>
          </w:p>
          <w:p>
            <w:r>
              <w:rPr>
                <w:b/>
                <w:bCs/>
              </w:rPr>
              <w:t xml:space="preserve">Aktivitas: </w:t>
            </w:r>
            <w:r>
              <w:t xml:space="preserve">Analisis kasus industri, brainstorming</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4</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Analisis Lingkungan Internal</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Analisis sumber daya dan kapabilitas. Value chain analysis. Competitive advantage dan core competencies.</w:t>
            </w:r>
          </w:p>
          <w:p>
            <w:r>
              <w:rPr>
                <w:b/>
                <w:bCs/>
              </w:rPr>
              <w:t xml:space="preserve">Aktivitas: </w:t>
            </w:r>
            <w:r>
              <w:t xml:space="preserve">Audit internal, case study</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5</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Analisis SWOT &amp; Positioning</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pPr>
              <w:spacing w:after="80"/>
            </w:pPr>
            <w:r>
              <w:t xml:space="preserve">Integrasi analisis eksternal-internal. SWOT matrix dan strategic alternatives. Market positioning.</w:t>
            </w:r>
          </w:p>
          <w:p>
            <w:r>
              <w:rPr>
                <w:b/>
                <w:bCs/>
              </w:rPr>
              <w:t xml:space="preserve">Aktivitas: </w:t>
            </w:r>
            <w:r>
              <w:t xml:space="preserve">SWOT workshop, positioning strategy</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6</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Strategi Korporat &amp; Bisnis</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Strategi pertumbuhan (diversifikasi, ekspansi). Strategi level bisnis (differensiasi, kepemimpinan biaya). Strategi generik Porter.</w:t>
            </w:r>
          </w:p>
          <w:p>
            <w:r>
              <w:rPr>
                <w:b/>
                <w:bCs/>
              </w:rPr>
              <w:t xml:space="preserve">Aktivitas: </w:t>
            </w:r>
            <w:r>
              <w:t xml:space="preserve">Analisis strategi kompetitor, diskusi</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7</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UJIAN TENGAH SEMESTER</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Evaluasi pemahaman topik minggu 1-6</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8</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Implementasi Strategi</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Struktur organisasi strategis. Proses dan sistem manajemen. Peran kepemimpinan dalam implementasi.</w:t>
            </w:r>
          </w:p>
          <w:p>
            <w:r>
              <w:rPr>
                <w:b/>
                <w:bCs/>
              </w:rPr>
              <w:t xml:space="preserve">Aktivitas: </w:t>
            </w:r>
            <w:r>
              <w:t xml:space="preserve">Studi kasus implementasi</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9</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Monitoring &amp; Evaluasi</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pPr>
              <w:spacing w:after="80"/>
            </w:pPr>
            <w:r>
              <w:t xml:space="preserve">KPI dan metrik kinerja strategis. Sistem monitoring dan evaluasi. Adjustment strategi berbasis data.</w:t>
            </w:r>
          </w:p>
          <w:p>
            <w:r>
              <w:rPr>
                <w:b/>
                <w:bCs/>
              </w:rPr>
              <w:t xml:space="preserve">Aktivitas: </w:t>
            </w:r>
            <w:r>
              <w:t xml:space="preserve">Simulasi monitoring KPI</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10</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Strategi Pemasaran</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Strategi pemasaran terintegrasi. Segmentasi pasar. Go-to-market strategy dan customer relationship.</w:t>
            </w:r>
          </w:p>
          <w:p>
            <w:r>
              <w:rPr>
                <w:b/>
                <w:bCs/>
              </w:rPr>
              <w:t xml:space="preserve">Aktivitas: </w:t>
            </w:r>
            <w:r>
              <w:t xml:space="preserve">Marketing strategy development</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11</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Strategi Inovasi &amp; Digital</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pPr>
              <w:spacing w:after="80"/>
            </w:pPr>
            <w:r>
              <w:t xml:space="preserve">Transformasi digital dan strategi teknologi. Innovation management. Business model innovation dan disruption.</w:t>
            </w:r>
          </w:p>
          <w:p>
            <w:r>
              <w:rPr>
                <w:b/>
                <w:bCs/>
              </w:rPr>
              <w:t xml:space="preserve">Aktivitas: </w:t>
            </w:r>
            <w:r>
              <w:t xml:space="preserve">Diskusi digital transformation</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12</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Strategi Keberlanjutan</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pPr>
              <w:spacing w:after="80"/>
            </w:pPr>
            <w:r>
              <w:t xml:space="preserve">Corporate social responsibility (CSR). Strategi keberlanjutan lingkungan dan sosial. Stakeholder management.</w:t>
            </w:r>
          </w:p>
          <w:p>
            <w:r>
              <w:rPr>
                <w:b/>
                <w:bCs/>
              </w:rPr>
              <w:t xml:space="preserve">Aktivitas: </w:t>
            </w:r>
            <w:r>
              <w:t xml:space="preserve">CSR strategy workshop</w:t>
            </w:r>
          </w:p>
        </w:tc>
      </w:tr>
      <w:tr>
        <w:tc>
          <w:tcPr>
            <w:tcW w:type="dxa" w:w="120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13-14</w:t>
            </w:r>
          </w:p>
        </w:tc>
        <w:tc>
          <w:tcPr>
            <w:tcW w:type="dxa" w:w="26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Presentasi Proyek Kelompok</w:t>
            </w:r>
          </w:p>
        </w:tc>
        <w:tc>
          <w:tcPr>
            <w:tcW w:type="dxa" w:w="5480"/>
            <w:tcBorders>
              <w:top w:val="single" w:color="000000" w:sz="6"/>
              <w:left w:val="single" w:color="000000" w:sz="6"/>
              <w:bottom w:val="single" w:color="000000" w:sz="6"/>
              <w:right w:val="single" w:color="000000" w:sz="6"/>
            </w:tcBorders>
            <w:shd w:fill="E8F0F7" w:val="clear"/>
            <w:tcMar>
              <w:top w:type="dxa" w:w="80"/>
              <w:left w:type="dxa" w:w="80"/>
              <w:bottom w:type="dxa" w:w="80"/>
              <w:right w:type="dxa" w:w="80"/>
            </w:tcMar>
          </w:tcPr>
          <w:p>
            <w:r>
              <w:t xml:space="preserve">Presentasi strategi bisnis komprehensif dari kelompok mahasiswa</w:t>
            </w:r>
          </w:p>
        </w:tc>
      </w:tr>
      <w:tr>
        <w:tc>
          <w:tcPr>
            <w:tcW w:type="dxa" w:w="120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15</w:t>
            </w:r>
          </w:p>
        </w:tc>
        <w:tc>
          <w:tcPr>
            <w:tcW w:type="dxa" w:w="26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UJIAN AKHIR SEMESTER</w:t>
            </w:r>
          </w:p>
        </w:tc>
        <w:tc>
          <w:tcPr>
            <w:tcW w:type="dxa" w:w="5480"/>
            <w:tcBorders>
              <w:top w:val="single" w:color="000000" w:sz="6"/>
              <w:left w:val="single" w:color="000000" w:sz="6"/>
              <w:bottom w:val="single" w:color="000000" w:sz="6"/>
              <w:right w:val="single" w:color="000000" w:sz="6"/>
            </w:tcBorders>
            <w:tcMar>
              <w:top w:type="dxa" w:w="80"/>
              <w:left w:type="dxa" w:w="80"/>
              <w:bottom w:type="dxa" w:w="80"/>
              <w:right w:type="dxa" w:w="80"/>
            </w:tcMar>
          </w:tcPr>
          <w:p>
            <w:r>
              <w:t xml:space="preserve">Evaluasi pemahaman keseluruhan dan integrasi konsep strategis</w:t>
            </w:r>
          </w:p>
        </w:tc>
      </w:tr>
    </w:tbl>
    <w:p>
      <w:pPr>
        <w:spacing w:after="240"/>
      </w:pPr>
      <w:r>
        <w:t xml:space="preserve"/>
      </w:r>
    </w:p>
    <w:p>
      <w:pPr>
        <w:pStyle w:val="Heading1"/>
      </w:pPr>
      <w:r>
        <w:t xml:space="preserve">5. METODE PEMBELAJARAN</w:t>
      </w:r>
    </w:p>
    <w:p>
      <w:pPr>
        <w:pStyle w:val="ListParagraph"/>
        <w:numPr>
          <w:ilvl w:val="0"/>
          <w:numId w:val="3"/>
        </w:numPr>
        <w:spacing w:after="120"/>
      </w:pPr>
      <w:r>
        <w:t xml:space="preserve">Lecturing dan diskusi interaktif (membangun pemahaman konseptual)</w:t>
      </w:r>
    </w:p>
    <w:p>
      <w:pPr>
        <w:pStyle w:val="ListParagraph"/>
        <w:numPr>
          <w:ilvl w:val="0"/>
          <w:numId w:val="3"/>
        </w:numPr>
        <w:spacing w:after="120"/>
      </w:pPr>
      <w:r>
        <w:t xml:space="preserve">Case study dan analisis studi kasus nyata dari berbagai industri</w:t>
      </w:r>
    </w:p>
    <w:p>
      <w:pPr>
        <w:pStyle w:val="ListParagraph"/>
        <w:numPr>
          <w:ilvl w:val="0"/>
          <w:numId w:val="3"/>
        </w:numPr>
        <w:spacing w:after="120"/>
      </w:pPr>
      <w:r>
        <w:t xml:space="preserve">Project-based learning dengan proyek kelompok mengembangkan strategi bisnis</w:t>
      </w:r>
    </w:p>
    <w:p>
      <w:pPr>
        <w:pStyle w:val="ListParagraph"/>
        <w:numPr>
          <w:ilvl w:val="0"/>
          <w:numId w:val="3"/>
        </w:numPr>
        <w:spacing w:after="120"/>
      </w:pPr>
      <w:r>
        <w:t xml:space="preserve">Business simulation dan role-playing exercise</w:t>
      </w:r>
    </w:p>
    <w:p>
      <w:pPr>
        <w:pStyle w:val="ListParagraph"/>
        <w:numPr>
          <w:ilvl w:val="0"/>
          <w:numId w:val="3"/>
        </w:numPr>
        <w:spacing w:after="120"/>
      </w:pPr>
      <w:r>
        <w:t xml:space="preserve">Guest speaker dari praktisi industri</w:t>
      </w:r>
    </w:p>
    <w:p>
      <w:pPr>
        <w:pStyle w:val="ListParagraph"/>
        <w:numPr>
          <w:ilvl w:val="0"/>
          <w:numId w:val="3"/>
        </w:numPr>
        <w:spacing w:after="240"/>
      </w:pPr>
      <w:r>
        <w:t xml:space="preserve">Peer review dan presentasi kelompok</w:t>
      </w:r>
    </w:p>
    <w:p>
      <w:pPr>
        <w:pStyle w:val="Heading1"/>
      </w:pPr>
      <w:r>
        <w:t xml:space="preserve">6. PENILAIAN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1F4E78" w:val="clear"/>
            <w:tcMar>
              <w:top w:type="dxa" w:w="80"/>
              <w:left w:type="dxa" w:w="120"/>
              <w:bottom w:type="dxa" w:w="80"/>
              <w:right w:type="dxa" w:w="120"/>
            </w:tcMar>
          </w:tcPr>
          <w:p>
            <w:r>
              <w:rPr>
                <w:b/>
                <w:bCs/>
                <w:color w:val="FFFFFF"/>
              </w:rPr>
              <w:t xml:space="preserve">Komponen Penilaian</w:t>
            </w:r>
          </w:p>
        </w:tc>
        <w:tc>
          <w:tcPr>
            <w:tcW w:type="dxa" w:w="4680"/>
            <w:tcBorders>
              <w:top w:val="single" w:color="000000" w:sz="6"/>
              <w:left w:val="single" w:color="000000" w:sz="6"/>
              <w:bottom w:val="single" w:color="000000" w:sz="6"/>
              <w:right w:val="single" w:color="000000" w:sz="6"/>
            </w:tcBorders>
            <w:shd w:fill="1F4E78" w:val="clear"/>
            <w:tcMar>
              <w:top w:type="dxa" w:w="80"/>
              <w:left w:type="dxa" w:w="120"/>
              <w:bottom w:type="dxa" w:w="80"/>
              <w:right w:type="dxa" w:w="120"/>
            </w:tcMar>
          </w:tcPr>
          <w:p>
            <w:r>
              <w:rPr>
                <w:b/>
                <w:bCs/>
                <w:color w:val="FFFFFF"/>
              </w:rPr>
              <w:t xml:space="preserve">Bobot (%)</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Kehadiran dan Partisipasi Kelas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10%</w:t>
            </w:r>
          </w:p>
        </w:tc>
      </w:tr>
      <w:tr>
        <w:tc>
          <w:tcPr>
            <w:tcW w:type="dxa" w:w="468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t xml:space="preserve">Tugas dan Kuis Harian</w:t>
            </w:r>
          </w:p>
        </w:tc>
        <w:tc>
          <w:tcPr>
            <w:tcW w:type="dxa" w:w="468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t xml:space="preserve">15%</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Ujian Tengah Semester</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25%</w:t>
            </w:r>
          </w:p>
        </w:tc>
      </w:tr>
      <w:tr>
        <w:tc>
          <w:tcPr>
            <w:tcW w:type="dxa" w:w="468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t xml:space="preserve">Proyek Kelompok &amp; Presentasi</w:t>
            </w:r>
          </w:p>
        </w:tc>
        <w:tc>
          <w:tcPr>
            <w:tcW w:type="dxa" w:w="4680"/>
            <w:tcBorders>
              <w:top w:val="single" w:color="000000" w:sz="6"/>
              <w:left w:val="single" w:color="000000" w:sz="6"/>
              <w:bottom w:val="single" w:color="000000" w:sz="6"/>
              <w:right w:val="single" w:color="000000" w:sz="6"/>
            </w:tcBorders>
            <w:shd w:fill="E8F0F7" w:val="clear"/>
            <w:tcMar>
              <w:top w:type="dxa" w:w="80"/>
              <w:left w:type="dxa" w:w="120"/>
              <w:bottom w:type="dxa" w:w="80"/>
              <w:right w:type="dxa" w:w="120"/>
            </w:tcMar>
          </w:tcPr>
          <w:p>
            <w:r>
              <w:t xml:space="preserve">25%</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Ujian Akhir Semester</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r>
              <w:t xml:space="preserve">25%</w:t>
            </w:r>
          </w:p>
        </w:tc>
      </w:tr>
    </w:tbl>
    <w:p>
      <w:pPr>
        <w:spacing w:after="240"/>
      </w:pPr>
      <w:r>
        <w:t xml:space="preserve"/>
      </w:r>
    </w:p>
    <w:p>
      <w:pPr>
        <w:pStyle w:val="Heading1"/>
      </w:pPr>
      <w:r>
        <w:t xml:space="preserve">7. REFERENSI</w:t>
      </w:r>
    </w:p>
    <w:p>
      <w:pPr>
        <w:pStyle w:val="Heading2"/>
      </w:pPr>
      <w:r>
        <w:t xml:space="preserve">7.1 Referensi Utama (Wajib)</w:t>
      </w:r>
    </w:p>
    <w:p>
      <w:pPr>
        <w:pStyle w:val="ListParagraph"/>
        <w:numPr>
          <w:ilvl w:val="0"/>
          <w:numId w:val="2"/>
        </w:numPr>
        <w:spacing w:after="120"/>
      </w:pPr>
      <w:r>
        <w:t xml:space="preserve">Hitt, M. A., Ireland, R. D., &amp; Hoskisson, R. E. (2019). Strategic management: Concepts and cases (13th ed.). Cengage Learning.</w:t>
      </w:r>
    </w:p>
    <w:p>
      <w:pPr>
        <w:pStyle w:val="ListParagraph"/>
        <w:numPr>
          <w:ilvl w:val="0"/>
          <w:numId w:val="2"/>
        </w:numPr>
        <w:spacing w:after="120"/>
      </w:pPr>
      <w:r>
        <w:t xml:space="preserve">Porter, M. E. (2008). Competitive strategy: Techniques for analyzing industries and competitors. Free Press.</w:t>
      </w:r>
    </w:p>
    <w:p>
      <w:pPr>
        <w:pStyle w:val="ListParagraph"/>
        <w:numPr>
          <w:ilvl w:val="0"/>
          <w:numId w:val="2"/>
        </w:numPr>
        <w:spacing w:after="240"/>
      </w:pPr>
      <w:r>
        <w:t xml:space="preserve">Kaplan, R. S., &amp; Norton, D. P. (2004). Strategy maps: Converting intangible assets into tangible outcomes. Harvard Business School Press.</w:t>
      </w:r>
    </w:p>
    <w:p>
      <w:pPr>
        <w:pStyle w:val="Heading2"/>
      </w:pPr>
      <w:r>
        <w:t xml:space="preserve">7.2 Referensi Pendukung</w:t>
      </w:r>
    </w:p>
    <w:p>
      <w:pPr>
        <w:pStyle w:val="ListParagraph"/>
        <w:numPr>
          <w:ilvl w:val="0"/>
          <w:numId w:val="2"/>
        </w:numPr>
        <w:spacing w:after="120"/>
      </w:pPr>
      <w:r>
        <w:t xml:space="preserve">Johnson, G., Scholes, K., &amp; Whittington, R. (2017). Exploring strategy: Text and cases (11th ed.). Pearson.</w:t>
      </w:r>
    </w:p>
    <w:p>
      <w:pPr>
        <w:pStyle w:val="ListParagraph"/>
        <w:numPr>
          <w:ilvl w:val="0"/>
          <w:numId w:val="2"/>
        </w:numPr>
        <w:spacing w:after="120"/>
      </w:pPr>
      <w:r>
        <w:t xml:space="preserve">Lynch, R. (2018). Strategic management (9th ed.). Pearson Education.</w:t>
      </w:r>
    </w:p>
    <w:p>
      <w:pPr>
        <w:pStyle w:val="ListParagraph"/>
        <w:numPr>
          <w:ilvl w:val="0"/>
          <w:numId w:val="2"/>
        </w:numPr>
        <w:spacing w:after="120"/>
      </w:pPr>
      <w:r>
        <w:t xml:space="preserve">Grant, R. M. (2016). Contemporary strategy analysis: Text and cases (9th ed.). John Wiley &amp; Sons.</w:t>
      </w:r>
    </w:p>
    <w:p>
      <w:pPr>
        <w:pStyle w:val="ListParagraph"/>
        <w:numPr>
          <w:ilvl w:val="0"/>
          <w:numId w:val="2"/>
        </w:numPr>
        <w:spacing w:after="120"/>
      </w:pPr>
      <w:r>
        <w:t xml:space="preserve">Mintzberg, H., Lampel, J., Quinn, J. B., &amp; Ghoshal, S. (2003). The strategy process: Concepts, contexts, cases (4th ed.). Prentice Hall.</w:t>
      </w:r>
    </w:p>
    <w:p>
      <w:pPr>
        <w:pStyle w:val="ListParagraph"/>
        <w:numPr>
          <w:ilvl w:val="0"/>
          <w:numId w:val="2"/>
        </w:numPr>
        <w:spacing w:after="240"/>
      </w:pPr>
      <w:r>
        <w:t xml:space="preserve">Bartlett, C. A., &amp; Ghoshal, S. (2002). Managing across borders: The transnational solution (2nd ed.). Harvard Business School Press.</w:t>
      </w:r>
    </w:p>
    <w:p>
      <w:pPr>
        <w:pStyle w:val="Heading1"/>
      </w:pPr>
      <w:r>
        <w:t xml:space="preserve">8. KEBIJAKAN DAN PERATURAN KELAS</w:t>
      </w:r>
    </w:p>
    <w:p>
      <w:pPr>
        <w:pStyle w:val="ListParagraph"/>
        <w:numPr>
          <w:ilvl w:val="0"/>
          <w:numId w:val="2"/>
        </w:numPr>
        <w:spacing w:after="120"/>
      </w:pPr>
      <w:r>
        <w:t xml:space="preserve">Kehadiran minimum 80% (tidak termasuk izin sakit/keluarga yang terverifikasi)</w:t>
      </w:r>
    </w:p>
    <w:p>
      <w:pPr>
        <w:pStyle w:val="ListParagraph"/>
        <w:numPr>
          <w:ilvl w:val="0"/>
          <w:numId w:val="2"/>
        </w:numPr>
        <w:spacing w:after="120"/>
      </w:pPr>
      <w:r>
        <w:t xml:space="preserve">Keterlambatan lebih dari 15 menit dihitung sebagai tidak hadir</w:t>
      </w:r>
    </w:p>
    <w:p>
      <w:pPr>
        <w:pStyle w:val="ListParagraph"/>
        <w:numPr>
          <w:ilvl w:val="0"/>
          <w:numId w:val="2"/>
        </w:numPr>
        <w:spacing w:after="120"/>
      </w:pPr>
      <w:r>
        <w:t xml:space="preserve">Tugas dan proyek dikumpulkan tepat waktu sesuai jadwal (late submission = pengurangan nilai 10% per hari)</w:t>
      </w:r>
    </w:p>
    <w:p>
      <w:pPr>
        <w:pStyle w:val="ListParagraph"/>
        <w:numPr>
          <w:ilvl w:val="0"/>
          <w:numId w:val="2"/>
        </w:numPr>
        <w:spacing w:after="120"/>
      </w:pPr>
      <w:r>
        <w:t xml:space="preserve">Integritas akademik: Plagiarisme, kecurangan ujian, dan pelanggaran akademik lainnya akan dikenai sanksi sesuai peraturan institusi</w:t>
      </w:r>
    </w:p>
    <w:p>
      <w:pPr>
        <w:pStyle w:val="ListParagraph"/>
        <w:numPr>
          <w:ilvl w:val="0"/>
          <w:numId w:val="2"/>
        </w:numPr>
        <w:spacing w:after="120"/>
      </w:pPr>
      <w:r>
        <w:t xml:space="preserve">Partisipasi aktif dalam diskusi dan aktivitas kelompok sangat dihargai</w:t>
      </w:r>
    </w:p>
    <w:p>
      <w:pPr>
        <w:pStyle w:val="ListParagraph"/>
        <w:numPr>
          <w:ilvl w:val="0"/>
          <w:numId w:val="2"/>
        </w:numPr>
        <w:spacing w:after="120"/>
      </w:pPr>
      <w:r>
        <w:t xml:space="preserve">Penggunaan gadget (HP, laptop) hanya untuk keperluan pembelajaran dengan izin dosen</w:t>
      </w:r>
    </w:p>
    <w:p>
      <w:pPr>
        <w:pStyle w:val="ListParagraph"/>
        <w:numPr>
          <w:ilvl w:val="0"/>
          <w:numId w:val="2"/>
        </w:numPr>
        <w:spacing w:after="240"/>
      </w:pPr>
      <w:r>
        <w:t xml:space="preserve">Komunikasi menggunakan email institusional atau Learning Management System (LMS) yang telah ditentukan</w:t>
      </w:r>
    </w:p>
    <w:p>
      <w:pPr>
        <w:pStyle w:val="Heading1"/>
      </w:pPr>
      <w:r>
        <w:t xml:space="preserve">9. KONTAK DOSEN DAN JAM KONSULTASI</w:t>
      </w:r>
    </w:p>
    <w:p>
      <w:pPr>
        <w:spacing w:after="80"/>
      </w:pPr>
      <w:r>
        <w:rPr>
          <w:b/>
          <w:bCs/>
        </w:rPr>
        <w:t xml:space="preserve">Nama Dosen: </w:t>
      </w:r>
      <w:r>
        <w:t xml:space="preserve">Ir. Izzuddin, M.T., Ph.D.</w:t>
      </w:r>
    </w:p>
    <w:p>
      <w:pPr>
        <w:spacing w:after="80"/>
      </w:pPr>
      <w:r>
        <w:rPr>
          <w:b/>
          <w:bCs/>
        </w:rPr>
        <w:t xml:space="preserve">Email: </w:t>
      </w:r>
      <w:r>
        <w:t xml:space="preserve">zudin2007@gmail.com</w:t>
      </w:r>
    </w:p>
    <w:p>
      <w:pPr>
        <w:spacing w:after="80"/>
      </w:pPr>
      <w:r>
        <w:rPr>
          <w:b/>
          <w:bCs/>
        </w:rPr>
        <w:t xml:space="preserve">Jam Konsultasi: </w:t>
      </w:r>
      <w:r>
        <w:t xml:space="preserve">Senin-Jumat, 13:00-14:00 (atau by appointment)</w:t>
      </w:r>
    </w:p>
    <w:p>
      <w:pPr>
        <w:spacing w:after="240"/>
      </w:pPr>
      <w:r>
        <w:rPr>
          <w:b/>
          <w:bCs/>
        </w:rPr>
        <w:t xml:space="preserve">Ruangan: </w:t>
      </w:r>
      <w:r>
        <w:t xml:space="preserve">Kantor Dosen atau via video conference sesuai kesepakatan</w:t>
      </w:r>
    </w:p>
    <w:p>
      <w:pPr>
        <w:pBdr>
          <w:top w:val="single" w:color="2E75B6" w:sz="6" w:space="1"/>
        </w:pBdr>
        <w:spacing w:after="80" w:before="240"/>
        <w:jc w:val="center"/>
      </w:pPr>
      <w:r>
        <w:t xml:space="preserve"/>
      </w:r>
    </w:p>
    <w:p>
      <w:pPr>
        <w:jc w:val="center"/>
      </w:pPr>
      <w:r>
        <w:rPr>
          <w:i/>
          <w:iCs/>
          <w:sz w:val="20"/>
          <w:szCs w:val="20"/>
        </w:rPr>
        <w:t xml:space="preserve">Dokumen RPS ini berlaku untuk Tahun Akademik 2026/2027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2026-06-08T06:55:50.674Z</dcterms:created>
  <dcterms:modified xsi:type="dcterms:W3CDTF">2026-06-08T06:55:50.675Z</dcterms:modified>
</cp:coreProperties>
</file>

<file path=docProps/custom.xml><?xml version="1.0" encoding="utf-8"?>
<Properties xmlns="http://schemas.openxmlformats.org/officeDocument/2006/custom-properties" xmlns:vt="http://schemas.openxmlformats.org/officeDocument/2006/docPropsVTypes"/>
</file>