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rFonts w:ascii="Calibri" w:cs="Calibri" w:eastAsia="Calibri" w:hAnsi="Calibri"/>
          <w:b/>
          <w:bCs/>
          <w:color w:val="1A6B3C"/>
          <w:sz w:val="18"/>
          <w:szCs w:val="18"/>
        </w:rPr>
        <w:t xml:space="preserve">DRAF UNTUK PEMBAHASAN PIMPINAN</w:t>
      </w:r>
    </w:p>
    <w:p>
      <w:pPr>
        <w:spacing w:after="80"/>
        <w:jc w:val="left"/>
      </w:pPr>
      <w:r>
        <w:rPr>
          <w:rFonts w:ascii="Calibri" w:cs="Calibri" w:eastAsia="Calibri" w:hAnsi="Calibri"/>
          <w:b/>
          <w:bCs/>
          <w:color w:val="14532D"/>
          <w:sz w:val="44"/>
          <w:szCs w:val="44"/>
        </w:rPr>
        <w:t xml:space="preserve">Konsep Learning Management System (LMS)</w:t>
      </w:r>
    </w:p>
    <w:p>
      <w:pPr>
        <w:spacing w:after="140"/>
        <w:jc w:val="left"/>
      </w:pPr>
      <w:r>
        <w:rPr>
          <w:rFonts w:ascii="Calibri" w:cs="Calibri" w:eastAsia="Calibri" w:hAnsi="Calibri"/>
          <w:color w:val="374151"/>
          <w:sz w:val="26"/>
          <w:szCs w:val="26"/>
        </w:rPr>
        <w:t xml:space="preserve">STEI Fithrah Insani — Versi 2, diperbarui dengan hasil survei kebutuhan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400"/>
        <w:gridCol w:w="7012"/>
      </w:tblGrid>
      <w:tr>
        <w:trPr>
          <w:cantSplit/>
          <w:tblHeader/>
        </w:trPr>
        <w:tc>
          <w:tcPr>
            <w:tcW w:type="dxa" w:w="2400"/>
            <w:tcBorders>
              <w:top w:val="single" w:color="D1D5DB" w:sz="4"/>
              <w:left w:val="single" w:color="D1D5DB" w:sz="4"/>
              <w:bottom w:val="single" w:color="D1D5DB" w:sz="4"/>
              <w:right w:val="single" w:color="D1D5DB" w:sz="4"/>
            </w:tcBorders>
            <w:shd w:fill="1A6B3C"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Keterangan</w:t>
            </w:r>
          </w:p>
        </w:tc>
        <w:tc>
          <w:tcPr>
            <w:tcW w:type="dxa" w:w="7012"/>
            <w:tcBorders>
              <w:top w:val="single" w:color="D1D5DB" w:sz="4"/>
              <w:left w:val="single" w:color="D1D5DB" w:sz="4"/>
              <w:bottom w:val="single" w:color="D1D5DB" w:sz="4"/>
              <w:right w:val="single" w:color="D1D5DB" w:sz="4"/>
            </w:tcBorders>
            <w:shd w:fill="1A6B3C"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Isi</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Disiapkan oleh</w:t>
            </w:r>
          </w:p>
        </w:tc>
        <w:tc>
          <w:tcPr>
            <w:tcW w:type="dxa" w:w="7012"/>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Wakil Ketua I Bidang Akademik</w:t>
            </w:r>
          </w:p>
        </w:tc>
      </w:tr>
      <w:tr>
        <w:trPr>
          <w:cantSplit/>
        </w:trPr>
        <w:tc>
          <w:tcPr>
            <w:tcW w:type="dxa" w:w="2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Tanggal</w:t>
            </w:r>
          </w:p>
        </w:tc>
        <w:tc>
          <w:tcPr>
            <w:tcW w:type="dxa" w:w="701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13 Oktober 2026</w:t>
            </w:r>
          </w:p>
        </w:tc>
      </w:tr>
      <w:tr>
        <w:trPr>
          <w:cantSplit/>
        </w:trPr>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Dasar data</w:t>
            </w:r>
          </w:p>
        </w:tc>
        <w:tc>
          <w:tcPr>
            <w:tcW w:type="dxa" w:w="7012"/>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Survei kebutuhan LMS (n = 7), informasi struktur SISCA, dokumen internal STEI FI</w:t>
            </w:r>
          </w:p>
        </w:tc>
      </w:tr>
      <w:tr>
        <w:trPr>
          <w:cantSplit/>
        </w:trPr>
        <w:tc>
          <w:tcPr>
            <w:tcW w:type="dxa" w:w="2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Status</w:t>
            </w:r>
          </w:p>
        </w:tc>
        <w:tc>
          <w:tcPr>
            <w:tcW w:type="dxa" w:w="701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Temuan indikatif; platform belum diputuskan</w:t>
            </w:r>
          </w:p>
        </w:tc>
      </w:tr>
    </w:tbl>
    <w:p>
      <w:pPr>
        <w:spacing w:after="80"/>
      </w:pPr>
    </w:p>
    <w:p>
      <w:pPr>
        <w:pStyle w:val="Heading1"/>
        <w:keepNext/>
        <w:pBdr>
          <w:bottom w:val="single" w:color="1A6B3C" w:sz="6" w:space="2"/>
        </w:pBdr>
        <w:spacing w:after="140" w:before="320"/>
      </w:pPr>
      <w:r>
        <w:rPr>
          <w:rFonts w:ascii="Calibri" w:cs="Calibri" w:eastAsia="Calibri" w:hAnsi="Calibri"/>
          <w:b/>
          <w:bCs/>
          <w:color w:val="1A6B3C"/>
          <w:sz w:val="30"/>
          <w:szCs w:val="30"/>
        </w:rPr>
        <w:t xml:space="preserve">Ringkasan untuk Pimpinan</w:t>
      </w:r>
    </w:p>
    <w:p>
      <w:pPr>
        <w:spacing w:after="120" w:line="300"/>
        <w:jc w:val="both"/>
      </w:pPr>
      <w:r>
        <w:rPr>
          <w:rFonts w:ascii="Calibri" w:cs="Calibri" w:eastAsia="Calibri" w:hAnsi="Calibri"/>
          <w:sz w:val="22"/>
          <w:szCs w:val="22"/>
        </w:rPr>
        <w:t xml:space="preserve">Konsep ini menjawab satu pertanyaan: sistem pembelajaran daring seperti apa yang paling sesuai untuk STEI FI, dan apa yang perlu diputuskan sekarang. Survei awal (7 responden) menunjukkan bahwa kebutuhan terbesar adalah materi dan RPS yang terpusat, hambatan terbesar adalah koneksi, dan portal akademik SISCA hampir tidak dipakai untuk pembelajaran. Platform belum dapat dipilih karena dua hal belum dikonfirmasi: apakah SISCA sudah memiliki fitur e-learning dan apakah datanya dapat diintegrasikan.</w:t>
      </w:r>
    </w:p>
    <w:p>
      <w:pPr>
        <w:keepNext/>
        <w:spacing w:after="80" w:before="160"/>
      </w:pPr>
      <w:r>
        <w:rPr>
          <w:rFonts w:ascii="Calibri" w:cs="Calibri" w:eastAsia="Calibri" w:hAnsi="Calibri"/>
          <w:b/>
          <w:bCs/>
          <w:color w:val="374151"/>
          <w:sz w:val="20"/>
          <w:szCs w:val="20"/>
        </w:rPr>
        <w:t xml:space="preserve">Keputusan dan dukungan yang diminta</w:t>
      </w:r>
    </w:p>
    <w:p>
      <w:pPr>
        <w:pStyle w:val="ListParagraph"/>
        <w:numPr>
          <w:ilvl w:val="0"/>
          <w:numId w:val="2"/>
        </w:numPr>
        <w:spacing w:after="80" w:line="290"/>
      </w:pPr>
      <w:r>
        <w:rPr>
          <w:rFonts w:ascii="Calibri" w:cs="Calibri" w:eastAsia="Calibri" w:hAnsi="Calibri"/>
          <w:b/>
          <w:bCs/>
          <w:sz w:val="22"/>
          <w:szCs w:val="22"/>
        </w:rPr>
        <w:t xml:space="preserve">Menunjuk penanggung jawab teknis </w:t>
      </w:r>
      <w:r>
        <w:rPr>
          <w:rFonts w:ascii="Calibri" w:cs="Calibri" w:eastAsia="Calibri" w:hAnsi="Calibri"/>
          <w:sz w:val="22"/>
          <w:szCs w:val="22"/>
        </w:rPr>
        <w:t xml:space="preserve">(UPT Komputer/TI atau pihak yang ditunjuk) untuk menghubungi pengembang SISCA dan menjawab empat pertanyaan: vendor, fitur e-learning, ekspor/API data, dan login tunggal.</w:t>
      </w:r>
    </w:p>
    <w:p>
      <w:pPr>
        <w:pStyle w:val="ListParagraph"/>
        <w:numPr>
          <w:ilvl w:val="0"/>
          <w:numId w:val="2"/>
        </w:numPr>
        <w:spacing w:after="80" w:line="290"/>
      </w:pPr>
      <w:r>
        <w:rPr>
          <w:rFonts w:ascii="Calibri" w:cs="Calibri" w:eastAsia="Calibri" w:hAnsi="Calibri"/>
          <w:b/>
          <w:bCs/>
          <w:sz w:val="22"/>
          <w:szCs w:val="22"/>
        </w:rPr>
        <w:t xml:space="preserve">Mengganti kata sandi akun admin SISCA </w:t>
      </w:r>
      <w:r>
        <w:rPr>
          <w:rFonts w:ascii="Calibri" w:cs="Calibri" w:eastAsia="Calibri" w:hAnsi="Calibri"/>
          <w:sz w:val="22"/>
          <w:szCs w:val="22"/>
        </w:rPr>
        <w:t xml:space="preserve">dan mengganti akun admin bersama dengan akun bernama per petugas. Kata sandi lama pernah dibagikan lewat pesan teks.</w:t>
      </w:r>
    </w:p>
    <w:p>
      <w:pPr>
        <w:pStyle w:val="ListParagraph"/>
        <w:numPr>
          <w:ilvl w:val="0"/>
          <w:numId w:val="2"/>
        </w:numPr>
        <w:spacing w:after="80" w:line="290"/>
      </w:pPr>
      <w:r>
        <w:rPr>
          <w:rFonts w:ascii="Calibri" w:cs="Calibri" w:eastAsia="Calibri" w:hAnsi="Calibri"/>
          <w:b/>
          <w:bCs/>
          <w:sz w:val="22"/>
          <w:szCs w:val="22"/>
        </w:rPr>
        <w:t xml:space="preserve">Menetapkan rentang anggaran dan meminta penawaran </w:t>
      </w:r>
      <w:r>
        <w:rPr>
          <w:rFonts w:ascii="Calibri" w:cs="Calibri" w:eastAsia="Calibri" w:hAnsi="Calibri"/>
          <w:sz w:val="22"/>
          <w:szCs w:val="22"/>
        </w:rPr>
        <w:t xml:space="preserve">(lisensi, hosting, pelatihan). Data biaya belum tersedia pada dokumen yang diperiksa.</w:t>
      </w:r>
    </w:p>
    <w:p>
      <w:pPr>
        <w:pStyle w:val="ListParagraph"/>
        <w:numPr>
          <w:ilvl w:val="0"/>
          <w:numId w:val="2"/>
        </w:numPr>
        <w:spacing w:after="80" w:line="290"/>
      </w:pPr>
      <w:r>
        <w:rPr>
          <w:rFonts w:ascii="Calibri" w:cs="Calibri" w:eastAsia="Calibri" w:hAnsi="Calibri"/>
          <w:b/>
          <w:bCs/>
          <w:sz w:val="22"/>
          <w:szCs w:val="22"/>
        </w:rPr>
        <w:t xml:space="preserve">Menyetujui pilot </w:t>
      </w:r>
      <w:r>
        <w:rPr>
          <w:rFonts w:ascii="Calibri" w:cs="Calibri" w:eastAsia="Calibri" w:hAnsi="Calibri"/>
          <w:sz w:val="22"/>
          <w:szCs w:val="22"/>
        </w:rPr>
        <w:t xml:space="preserve">pada semester genap 2026/2027 dengan 5–8 mata kuliah dari kedua program studi, setelah platform diputuskan.</w:t>
      </w:r>
    </w:p>
    <w:p>
      <w:pPr>
        <w:pStyle w:val="ListParagraph"/>
        <w:numPr>
          <w:ilvl w:val="0"/>
          <w:numId w:val="2"/>
        </w:numPr>
        <w:spacing w:after="80" w:line="290"/>
      </w:pPr>
      <w:r>
        <w:rPr>
          <w:rFonts w:ascii="Calibri" w:cs="Calibri" w:eastAsia="Calibri" w:hAnsi="Calibri"/>
          <w:b/>
          <w:bCs/>
          <w:sz w:val="22"/>
          <w:szCs w:val="22"/>
        </w:rPr>
        <w:t xml:space="preserve">Mendukung perluasan survei </w:t>
      </w:r>
      <w:r>
        <w:rPr>
          <w:rFonts w:ascii="Calibri" w:cs="Calibri" w:eastAsia="Calibri" w:hAnsi="Calibri"/>
          <w:sz w:val="22"/>
          <w:szCs w:val="22"/>
        </w:rPr>
        <w:t xml:space="preserve">agar mencakup lebih banyak mahasiswa dan tenaga kependidikan (sasaran awal sekitar 20 responden).</w:t>
      </w:r>
    </w:p>
    <w:p>
      <w:pPr>
        <w:pStyle w:val="Heading1"/>
        <w:keepNext/>
        <w:pBdr>
          <w:bottom w:val="single" w:color="1A6B3C" w:sz="6" w:space="2"/>
        </w:pBdr>
        <w:spacing w:after="140" w:before="320"/>
      </w:pPr>
      <w:r>
        <w:rPr>
          <w:rFonts w:ascii="Calibri" w:cs="Calibri" w:eastAsia="Calibri" w:hAnsi="Calibri"/>
          <w:b/>
          <w:bCs/>
          <w:color w:val="1A6B3C"/>
          <w:sz w:val="30"/>
          <w:szCs w:val="30"/>
        </w:rPr>
        <w:t xml:space="preserve">Abstrak</w:t>
      </w:r>
    </w:p>
    <w:p>
      <w:pPr>
        <w:spacing w:after="120" w:line="300"/>
        <w:jc w:val="both"/>
      </w:pPr>
      <w:r>
        <w:rPr>
          <w:rFonts w:ascii="Calibri" w:cs="Calibri" w:eastAsia="Calibri" w:hAnsi="Calibri"/>
          <w:sz w:val="22"/>
          <w:szCs w:val="22"/>
        </w:rPr>
        <w:t xml:space="preserve">Laporan ini memperbarui konsep Learning Management System (LMS) Sekolah Tinggi Ekonomi Islam Fithrah Insani (STEI FI) dengan hasil survei kebutuhan pengguna (n = 7; 3 dosen dan 4 mahasiswa) dan informasi tentang sistem akademik SISCA. Materi dan RPS terpusat menjadi kebutuhan utama (6 dari 7 responden). Koneksi yang tidak stabil menjadi hambatan terbesar (6 dari 7), dan SISCA hampir tidak dipakai untuk pembelajaran (4 dari 7 belum pernah memakainya). Pembelajaran daring saat ini tersebar pada Google Drive, WhatsApp, Google Meet, dan Google Classroom. Berdasarkan temuan tersebut, urutan modul disusun ulang, rancangan diarahkan pada penggunaan ringan di perangkat seluler, dan pelatihan tatap muka diprioritaskan. Rekomendasi platform tetap bersyarat pada jawaban pengembang SISCA mengenai fitur e-learning dan kemampuan integrasi. Keterbatasan utamanya adalah jumlah responden yang kecil, tidak adanya tenaga kependidikan, dan kemungkinan bias pemilihan sendiri. Temuan bersifat indikatif dan belum dapat digeneralisasi.</w:t>
      </w:r>
    </w:p>
    <w:p>
      <w:pPr>
        <w:pStyle w:val="Heading1"/>
        <w:keepNext/>
        <w:pBdr>
          <w:bottom w:val="single" w:color="1A6B3C" w:sz="6" w:space="2"/>
        </w:pBdr>
        <w:spacing w:after="140" w:before="320"/>
      </w:pPr>
      <w:r>
        <w:rPr>
          <w:rFonts w:ascii="Calibri" w:cs="Calibri" w:eastAsia="Calibri" w:hAnsi="Calibri"/>
          <w:b/>
          <w:bCs/>
          <w:color w:val="1A6B3C"/>
          <w:sz w:val="30"/>
          <w:szCs w:val="30"/>
        </w:rPr>
        <w:t xml:space="preserve">1. Pendahuluan</w:t>
      </w:r>
    </w:p>
    <w:p>
      <w:pPr>
        <w:pStyle w:val="Heading2"/>
        <w:keepNext/>
        <w:spacing w:after="100" w:before="220"/>
      </w:pPr>
      <w:r>
        <w:rPr>
          <w:rFonts w:ascii="Calibri" w:cs="Calibri" w:eastAsia="Calibri" w:hAnsi="Calibri"/>
          <w:b/>
          <w:bCs/>
          <w:color w:val="14532D"/>
          <w:sz w:val="25"/>
          <w:szCs w:val="25"/>
        </w:rPr>
        <w:t xml:space="preserve">1.1 Latar Belakang</w:t>
      </w:r>
    </w:p>
    <w:p>
      <w:pPr>
        <w:spacing w:after="120" w:line="300"/>
        <w:jc w:val="both"/>
      </w:pPr>
      <w:r>
        <w:rPr>
          <w:rFonts w:ascii="Calibri" w:cs="Calibri" w:eastAsia="Calibri" w:hAnsi="Calibri"/>
          <w:sz w:val="22"/>
          <w:szCs w:val="22"/>
        </w:rPr>
        <w:t xml:space="preserve">Dokumen internal STEI FI sudah mengasumsikan keberadaan sistem akademik dan "e-learning" sebagai syarat kesiapan semester, tetapi platform e-learning yang dimaksud tidak teridentifikasi. Sistem akademik yang digunakan adalah SISCA, yang terdiri dari empat portal: akademik (untuk petugas), dosen, mahasiswa, dan penerimaan mahasiswa baru. Pada saat yang sama, STEI FI menargetkan penyerahan Laporan Evaluasi Diri (LED) ke SAPTO pada akhir April 2027 (estimasi). Bukti pelaksanaan pembelajaran lebih mudah dihasilkan apabila prosesnya berjalan dalam satu sistem yang meninggalkan jejak audit.</w:t>
      </w:r>
    </w:p>
    <w:p>
      <w:pPr>
        <w:pStyle w:val="Heading2"/>
        <w:keepNext/>
        <w:spacing w:after="100" w:before="220"/>
      </w:pPr>
      <w:r>
        <w:rPr>
          <w:rFonts w:ascii="Calibri" w:cs="Calibri" w:eastAsia="Calibri" w:hAnsi="Calibri"/>
          <w:b/>
          <w:bCs/>
          <w:color w:val="14532D"/>
          <w:sz w:val="25"/>
          <w:szCs w:val="25"/>
        </w:rPr>
        <w:t xml:space="preserve">1.2 Rumusan Masalah</w:t>
      </w:r>
    </w:p>
    <w:p>
      <w:pPr>
        <w:pStyle w:val="ListParagraph"/>
        <w:numPr>
          <w:ilvl w:val="0"/>
          <w:numId w:val="2"/>
        </w:numPr>
        <w:spacing w:after="80" w:line="290"/>
      </w:pPr>
      <w:r>
        <w:rPr>
          <w:rFonts w:ascii="Calibri" w:cs="Calibri" w:eastAsia="Calibri" w:hAnsi="Calibri"/>
          <w:sz w:val="22"/>
          <w:szCs w:val="22"/>
        </w:rPr>
        <w:t xml:space="preserve">Apa kebutuhan dan hambatan pengguna LMS menurut hasil survei awal?</w:t>
      </w:r>
    </w:p>
    <w:p>
      <w:pPr>
        <w:pStyle w:val="ListParagraph"/>
        <w:numPr>
          <w:ilvl w:val="0"/>
          <w:numId w:val="2"/>
        </w:numPr>
        <w:spacing w:after="80" w:line="290"/>
      </w:pPr>
      <w:r>
        <w:rPr>
          <w:rFonts w:ascii="Calibri" w:cs="Calibri" w:eastAsia="Calibri" w:hAnsi="Calibri"/>
          <w:sz w:val="22"/>
          <w:szCs w:val="22"/>
        </w:rPr>
        <w:t xml:space="preserve">Bagaimana temuan itu mengubah prioritas modul, pilihan platform, dan pola pelatihan?</w:t>
      </w:r>
    </w:p>
    <w:p>
      <w:pPr>
        <w:pStyle w:val="ListParagraph"/>
        <w:numPr>
          <w:ilvl w:val="0"/>
          <w:numId w:val="2"/>
        </w:numPr>
        <w:spacing w:after="80" w:line="290"/>
      </w:pPr>
      <w:r>
        <w:rPr>
          <w:rFonts w:ascii="Calibri" w:cs="Calibri" w:eastAsia="Calibri" w:hAnsi="Calibri"/>
          <w:sz w:val="22"/>
          <w:szCs w:val="22"/>
        </w:rPr>
        <w:t xml:space="preserve">Seberapa kuat temuan tersebut sebagai dasar keputusan?</w:t>
      </w:r>
    </w:p>
    <w:p>
      <w:pPr>
        <w:pStyle w:val="Heading2"/>
        <w:keepNext/>
        <w:spacing w:after="100" w:before="220"/>
      </w:pPr>
      <w:r>
        <w:rPr>
          <w:rFonts w:ascii="Calibri" w:cs="Calibri" w:eastAsia="Calibri" w:hAnsi="Calibri"/>
          <w:b/>
          <w:bCs/>
          <w:color w:val="14532D"/>
          <w:sz w:val="25"/>
          <w:szCs w:val="25"/>
        </w:rPr>
        <w:t xml:space="preserve">1.3 Kerangka Teori</w:t>
      </w:r>
    </w:p>
    <w:p>
      <w:pPr>
        <w:pStyle w:val="ListParagraph"/>
        <w:numPr>
          <w:ilvl w:val="0"/>
          <w:numId w:val="3"/>
        </w:numPr>
        <w:spacing w:after="70" w:line="290"/>
      </w:pPr>
      <w:r>
        <w:rPr>
          <w:rFonts w:ascii="Calibri" w:cs="Calibri" w:eastAsia="Calibri" w:hAnsi="Calibri"/>
          <w:b/>
          <w:bCs/>
          <w:sz w:val="22"/>
          <w:szCs w:val="22"/>
        </w:rPr>
        <w:t xml:space="preserve">Community of Inquiry </w:t>
      </w:r>
      <w:r>
        <w:rPr>
          <w:rFonts w:ascii="Calibri" w:cs="Calibri" w:eastAsia="Calibri" w:hAnsi="Calibri"/>
          <w:sz w:val="22"/>
          <w:szCs w:val="22"/>
        </w:rPr>
        <w:t xml:space="preserve">(Garrison et al., 2000): pembelajaran daring efektif bila presensi kognitif, sosial, dan pengajaran hadir bersama, sehingga LMS perlu memuat forum, umpan balik, dan struktur kegiatan.</w:t>
      </w:r>
    </w:p>
    <w:p>
      <w:pPr>
        <w:pStyle w:val="ListParagraph"/>
        <w:numPr>
          <w:ilvl w:val="0"/>
          <w:numId w:val="3"/>
        </w:numPr>
        <w:spacing w:after="70" w:line="290"/>
      </w:pPr>
      <w:r>
        <w:rPr>
          <w:rFonts w:ascii="Calibri" w:cs="Calibri" w:eastAsia="Calibri" w:hAnsi="Calibri"/>
          <w:b/>
          <w:bCs/>
          <w:sz w:val="22"/>
          <w:szCs w:val="22"/>
        </w:rPr>
        <w:t xml:space="preserve">Model kesuksesan sistem informasi </w:t>
      </w:r>
      <w:r>
        <w:rPr>
          <w:rFonts w:ascii="Calibri" w:cs="Calibri" w:eastAsia="Calibri" w:hAnsi="Calibri"/>
          <w:sz w:val="22"/>
          <w:szCs w:val="22"/>
        </w:rPr>
        <w:t xml:space="preserve">(DeLone &amp; McLean, 2003): kualitas sistem, informasi, layanan, penggunaan, kepuasan, dan manfaat bersih menjadi dasar indikator.</w:t>
      </w:r>
    </w:p>
    <w:p>
      <w:pPr>
        <w:pStyle w:val="ListParagraph"/>
        <w:numPr>
          <w:ilvl w:val="0"/>
          <w:numId w:val="3"/>
        </w:numPr>
        <w:spacing w:after="70" w:line="290"/>
      </w:pPr>
      <w:r>
        <w:rPr>
          <w:rFonts w:ascii="Calibri" w:cs="Calibri" w:eastAsia="Calibri" w:hAnsi="Calibri"/>
          <w:b/>
          <w:bCs/>
          <w:sz w:val="22"/>
          <w:szCs w:val="22"/>
        </w:rPr>
        <w:t xml:space="preserve">Technology Acceptance Model </w:t>
      </w:r>
      <w:r>
        <w:rPr>
          <w:rFonts w:ascii="Calibri" w:cs="Calibri" w:eastAsia="Calibri" w:hAnsi="Calibri"/>
          <w:sz w:val="22"/>
          <w:szCs w:val="22"/>
        </w:rPr>
        <w:t xml:space="preserve">(Davis, 1989): persepsi kemudahan dan kemanfaatan menentukan adopsi.</w:t>
      </w:r>
    </w:p>
    <w:p>
      <w:pPr>
        <w:pStyle w:val="ListParagraph"/>
        <w:numPr>
          <w:ilvl w:val="0"/>
          <w:numId w:val="3"/>
        </w:numPr>
        <w:spacing w:after="70" w:line="290"/>
      </w:pPr>
      <w:r>
        <w:rPr>
          <w:rFonts w:ascii="Calibri" w:cs="Calibri" w:eastAsia="Calibri" w:hAnsi="Calibri"/>
          <w:b/>
          <w:bCs/>
          <w:sz w:val="22"/>
          <w:szCs w:val="22"/>
        </w:rPr>
        <w:t xml:space="preserve">Prinsip pembelajaran multimedia </w:t>
      </w:r>
      <w:r>
        <w:rPr>
          <w:rFonts w:ascii="Calibri" w:cs="Calibri" w:eastAsia="Calibri" w:hAnsi="Calibri"/>
          <w:sz w:val="22"/>
          <w:szCs w:val="22"/>
        </w:rPr>
        <w:t xml:space="preserve">(Mayer, 2009): menjadi pedoman penyajian bahan ajar.</w:t>
      </w:r>
    </w:p>
    <w:p>
      <w:pPr>
        <w:pStyle w:val="Heading1"/>
        <w:keepNext/>
        <w:pBdr>
          <w:bottom w:val="single" w:color="1A6B3C" w:sz="6" w:space="2"/>
        </w:pBdr>
        <w:spacing w:after="140" w:before="320"/>
      </w:pPr>
      <w:r>
        <w:rPr>
          <w:rFonts w:ascii="Calibri" w:cs="Calibri" w:eastAsia="Calibri" w:hAnsi="Calibri"/>
          <w:b/>
          <w:bCs/>
          <w:color w:val="1A6B3C"/>
          <w:sz w:val="30"/>
          <w:szCs w:val="30"/>
        </w:rPr>
        <w:t xml:space="preserve">2. Metodologi</w:t>
      </w:r>
    </w:p>
    <w:p>
      <w:pPr>
        <w:spacing w:after="120" w:line="300"/>
        <w:jc w:val="both"/>
      </w:pPr>
      <w:r>
        <w:rPr>
          <w:rFonts w:ascii="Calibri" w:cs="Calibri" w:eastAsia="Calibri" w:hAnsi="Calibri"/>
          <w:sz w:val="22"/>
          <w:szCs w:val="22"/>
        </w:rPr>
        <w:t xml:space="preserve">Data primer berasal dari survei daring anonim 13 pertanyaan yang tautannya dibagikan lewat grup dan diisi pada 13 Oktober 2026. Analisis bersifat deskriptif: frekuensi jawaban dan rata-rata skala 1–5. Data sekunder berasal dari dokumen internal STEI FI dan informasi struktur SISCA yang diberikan pimpinan.</w:t>
      </w:r>
    </w:p>
    <w:p>
      <w:pPr>
        <w:keepNext/>
        <w:spacing w:after="80" w:before="160"/>
      </w:pPr>
      <w:r>
        <w:rPr>
          <w:rFonts w:ascii="Calibri" w:cs="Calibri" w:eastAsia="Calibri" w:hAnsi="Calibri"/>
          <w:b/>
          <w:bCs/>
          <w:color w:val="374151"/>
          <w:sz w:val="20"/>
          <w:szCs w:val="20"/>
        </w:rPr>
        <w:t xml:space="preserve">Keterbatasan</w:t>
      </w:r>
    </w:p>
    <w:p>
      <w:pPr>
        <w:pStyle w:val="ListParagraph"/>
        <w:numPr>
          <w:ilvl w:val="0"/>
          <w:numId w:val="3"/>
        </w:numPr>
        <w:spacing w:after="70" w:line="290"/>
      </w:pPr>
      <w:r>
        <w:rPr>
          <w:rFonts w:ascii="Calibri" w:cs="Calibri" w:eastAsia="Calibri" w:hAnsi="Calibri"/>
          <w:sz w:val="22"/>
          <w:szCs w:val="22"/>
        </w:rPr>
        <w:t xml:space="preserve">Jumlah responden 7, sehingga satu responden setara 14 poin persentase.</w:t>
      </w:r>
    </w:p>
    <w:p>
      <w:pPr>
        <w:pStyle w:val="ListParagraph"/>
        <w:numPr>
          <w:ilvl w:val="0"/>
          <w:numId w:val="3"/>
        </w:numPr>
        <w:spacing w:after="70" w:line="290"/>
      </w:pPr>
      <w:r>
        <w:rPr>
          <w:rFonts w:ascii="Calibri" w:cs="Calibri" w:eastAsia="Calibri" w:hAnsi="Calibri"/>
          <w:sz w:val="22"/>
          <w:szCs w:val="22"/>
        </w:rPr>
        <w:t xml:space="preserve">Responden adalah sukarelawan (bias pemilihan sendiri) dan dapat lebih terbiasa dengan teknologi dibanding rata-rata sivitas.</w:t>
      </w:r>
    </w:p>
    <w:p>
      <w:pPr>
        <w:pStyle w:val="ListParagraph"/>
        <w:numPr>
          <w:ilvl w:val="0"/>
          <w:numId w:val="3"/>
        </w:numPr>
        <w:spacing w:after="70" w:line="290"/>
      </w:pPr>
      <w:r>
        <w:rPr>
          <w:rFonts w:ascii="Calibri" w:cs="Calibri" w:eastAsia="Calibri" w:hAnsi="Calibri"/>
          <w:sz w:val="22"/>
          <w:szCs w:val="22"/>
        </w:rPr>
        <w:t xml:space="preserve">Tidak ada tenaga kependidikan; komposisi program studi timpang (5 Ekonomi Syariah, 2 Perbankan Syariah).</w:t>
      </w:r>
    </w:p>
    <w:p>
      <w:pPr>
        <w:pStyle w:val="ListParagraph"/>
        <w:numPr>
          <w:ilvl w:val="0"/>
          <w:numId w:val="3"/>
        </w:numPr>
        <w:spacing w:after="70" w:line="290"/>
      </w:pPr>
      <w:r>
        <w:rPr>
          <w:rFonts w:ascii="Calibri" w:cs="Calibri" w:eastAsia="Calibri" w:hAnsi="Calibri"/>
          <w:sz w:val="22"/>
          <w:szCs w:val="22"/>
        </w:rPr>
        <w:t xml:space="preserve">Populasi sivitas, kapasitas TI, dan biaya tidak tersedia pada dokumen yang diperiksa.</w:t>
      </w:r>
    </w:p>
    <w:p>
      <w:pPr>
        <w:pStyle w:val="ListParagraph"/>
        <w:numPr>
          <w:ilvl w:val="0"/>
          <w:numId w:val="3"/>
        </w:numPr>
        <w:spacing w:after="70" w:line="290"/>
      </w:pPr>
      <w:r>
        <w:rPr>
          <w:rFonts w:ascii="Calibri" w:cs="Calibri" w:eastAsia="Calibri" w:hAnsi="Calibri"/>
          <w:sz w:val="22"/>
          <w:szCs w:val="22"/>
        </w:rPr>
        <w:t xml:space="preserve">Ada ketidakselarasan kecil antarjawaban: 4 responden memilih "belum pernah memakai SISCA" pada daftar fitur, sedangkan 3 memilih "tidak pernah" pada pertanyaan frekuensi.</w:t>
      </w:r>
    </w:p>
    <w:p>
      <w:pPr>
        <w:pStyle w:val="Heading1"/>
        <w:keepNext/>
        <w:pBdr>
          <w:bottom w:val="single" w:color="1A6B3C" w:sz="6" w:space="2"/>
        </w:pBdr>
        <w:spacing w:after="140" w:before="320"/>
      </w:pPr>
      <w:r>
        <w:rPr>
          <w:rFonts w:ascii="Calibri" w:cs="Calibri" w:eastAsia="Calibri" w:hAnsi="Calibri"/>
          <w:b/>
          <w:bCs/>
          <w:color w:val="1A6B3C"/>
          <w:sz w:val="30"/>
          <w:szCs w:val="30"/>
        </w:rPr>
        <w:t xml:space="preserve">3. Hasil dan Pembahasan</w:t>
      </w:r>
    </w:p>
    <w:p>
      <w:pPr>
        <w:pStyle w:val="Heading2"/>
        <w:keepNext/>
        <w:spacing w:after="100" w:before="220"/>
      </w:pPr>
      <w:r>
        <w:rPr>
          <w:rFonts w:ascii="Calibri" w:cs="Calibri" w:eastAsia="Calibri" w:hAnsi="Calibri"/>
          <w:b/>
          <w:bCs/>
          <w:color w:val="14532D"/>
          <w:sz w:val="25"/>
          <w:szCs w:val="25"/>
        </w:rPr>
        <w:t xml:space="preserve">3.1 Temuan Survei</w:t>
      </w:r>
    </w:p>
    <w:p>
      <w:pPr>
        <w:keepNext/>
        <w:spacing w:after="80" w:before="160"/>
      </w:pPr>
      <w:r>
        <w:rPr>
          <w:rFonts w:ascii="Calibri" w:cs="Calibri" w:eastAsia="Calibri" w:hAnsi="Calibri"/>
          <w:b/>
          <w:bCs/>
          <w:color w:val="374151"/>
          <w:sz w:val="20"/>
          <w:szCs w:val="20"/>
        </w:rPr>
        <w:t xml:space="preserve">Tabel 1. Temuan utama (n = 7)</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500"/>
        <w:gridCol w:w="6912"/>
      </w:tblGrid>
      <w:tr>
        <w:trPr>
          <w:cantSplit/>
          <w:tblHeader/>
        </w:trPr>
        <w:tc>
          <w:tcPr>
            <w:tcW w:type="dxa" w:w="2500"/>
            <w:tcBorders>
              <w:top w:val="single" w:color="D1D5DB" w:sz="4"/>
              <w:left w:val="single" w:color="D1D5DB" w:sz="4"/>
              <w:bottom w:val="single" w:color="D1D5DB" w:sz="4"/>
              <w:right w:val="single" w:color="D1D5DB" w:sz="4"/>
            </w:tcBorders>
            <w:shd w:fill="1A6B3C"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Dimensi</w:t>
            </w:r>
          </w:p>
        </w:tc>
        <w:tc>
          <w:tcPr>
            <w:tcW w:type="dxa" w:w="6912"/>
            <w:tcBorders>
              <w:top w:val="single" w:color="D1D5DB" w:sz="4"/>
              <w:left w:val="single" w:color="D1D5DB" w:sz="4"/>
              <w:bottom w:val="single" w:color="D1D5DB" w:sz="4"/>
              <w:right w:val="single" w:color="D1D5DB" w:sz="4"/>
            </w:tcBorders>
            <w:shd w:fill="1A6B3C"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Temuan</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Responden</w:t>
            </w:r>
          </w:p>
        </w:tc>
        <w:tc>
          <w:tcPr>
            <w:tcW w:type="dxa" w:w="6912"/>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3 dosen, 4 mahasiswa; 5 Ekonomi Syariah, 2 Perbankan Syariah</w:t>
            </w:r>
          </w:p>
        </w:tc>
      </w:tr>
      <w:tr>
        <w:trPr>
          <w:cantSplit/>
        </w:trPr>
        <w:tc>
          <w:tcPr>
            <w:tcW w:type="dxa" w:w="2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Perangkat</w:t>
            </w:r>
          </w:p>
        </w:tc>
        <w:tc>
          <w:tcPr>
            <w:tcW w:type="dxa" w:w="691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HP dan laptop 3; HP saja 2; laptop saja 2</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Kualitas koneksi</w:t>
            </w:r>
          </w:p>
        </w:tc>
        <w:tc>
          <w:tcPr>
            <w:tcW w:type="dxa" w:w="6912"/>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Rata-rata 3,86 dari 5</w:t>
            </w:r>
          </w:p>
        </w:tc>
      </w:tr>
      <w:tr>
        <w:trPr>
          <w:cantSplit/>
        </w:trPr>
        <w:tc>
          <w:tcPr>
            <w:tcW w:type="dxa" w:w="2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Hambatan</w:t>
            </w:r>
          </w:p>
        </w:tc>
        <w:tc>
          <w:tcPr>
            <w:tcW w:type="dxa" w:w="691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Kuota/koneksi tidak stabil 6; perangkat terbatas 3; lainnya masing-masing 1</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Pemakaian SISCA</w:t>
            </w:r>
          </w:p>
        </w:tc>
        <w:tc>
          <w:tcPr>
            <w:tcW w:type="dxa" w:w="6912"/>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Belum pernah memakai 4; fitur yang dipakai: jadwal 3, nilai/tugas/materi/presensi masing-masing 1</w:t>
            </w:r>
          </w:p>
        </w:tc>
      </w:tr>
      <w:tr>
        <w:trPr>
          <w:cantSplit/>
        </w:trPr>
        <w:tc>
          <w:tcPr>
            <w:tcW w:type="dxa" w:w="2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Aplikasi lain</w:t>
            </w:r>
          </w:p>
        </w:tc>
        <w:tc>
          <w:tcPr>
            <w:tcW w:type="dxa" w:w="691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Google Drive 6; WhatsApp 5; Google Meet 5; Google Classroom 4</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Pentingnya akun SISCA yang sama</w:t>
            </w:r>
          </w:p>
        </w:tc>
        <w:tc>
          <w:tcPr>
            <w:tcW w:type="dxa" w:w="6912"/>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Rata-rata 3,71 dari 5</w:t>
            </w:r>
          </w:p>
        </w:tc>
      </w:tr>
      <w:tr>
        <w:trPr>
          <w:cantSplit/>
        </w:trPr>
        <w:tc>
          <w:tcPr>
            <w:tcW w:type="dxa" w:w="2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Kesiapan pelatihan</w:t>
            </w:r>
          </w:p>
        </w:tc>
        <w:tc>
          <w:tcPr>
            <w:tcW w:type="dxa" w:w="691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Siap 4; mungkin 3; belum siap 0</w:t>
            </w:r>
          </w:p>
        </w:tc>
      </w:tr>
      <w:tr>
        <w:trPr>
          <w:cantSplit/>
        </w:trPr>
        <w:tc>
          <w:tcPr>
            <w:tcW w:type="dxa" w:w="25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Format panduan</w:t>
            </w:r>
          </w:p>
        </w:tc>
        <w:tc>
          <w:tcPr>
            <w:tcW w:type="dxa" w:w="6912"/>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Tatap muka 4; video singkat 2; PDF 1</w:t>
            </w:r>
          </w:p>
        </w:tc>
      </w:tr>
    </w:tbl>
    <w:p>
      <w:pPr>
        <w:keepNext/>
        <w:spacing w:after="80" w:before="160"/>
      </w:pPr>
      <w:r>
        <w:rPr>
          <w:rFonts w:ascii="Calibri" w:cs="Calibri" w:eastAsia="Calibri" w:hAnsi="Calibri"/>
          <w:b/>
          <w:bCs/>
          <w:color w:val="374151"/>
          <w:sz w:val="20"/>
          <w:szCs w:val="20"/>
        </w:rPr>
        <w:t xml:space="preserve">Tabel 2. Fitur LMS yang dibutuhkan (maksimal 5 pilihan per responden)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6412"/>
        <w:gridCol w:w="3000"/>
      </w:tblGrid>
      <w:tr>
        <w:trPr>
          <w:cantSplit/>
          <w:tblHeader/>
        </w:trPr>
        <w:tc>
          <w:tcPr>
            <w:tcW w:type="dxa" w:w="6412"/>
            <w:tcBorders>
              <w:top w:val="single" w:color="D1D5DB" w:sz="4"/>
              <w:left w:val="single" w:color="D1D5DB" w:sz="4"/>
              <w:bottom w:val="single" w:color="D1D5DB" w:sz="4"/>
              <w:right w:val="single" w:color="D1D5DB" w:sz="4"/>
            </w:tcBorders>
            <w:shd w:fill="1A6B3C"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Fitur</w:t>
            </w:r>
          </w:p>
        </w:tc>
        <w:tc>
          <w:tcPr>
            <w:tcW w:type="dxa" w:w="3000"/>
            <w:tcBorders>
              <w:top w:val="single" w:color="D1D5DB" w:sz="4"/>
              <w:left w:val="single" w:color="D1D5DB" w:sz="4"/>
              <w:bottom w:val="single" w:color="D1D5DB" w:sz="4"/>
              <w:right w:val="single" w:color="D1D5DB" w:sz="4"/>
            </w:tcBorders>
            <w:shd w:fill="1A6B3C"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Jumlah responden</w:t>
            </w:r>
          </w:p>
        </w:tc>
      </w:tr>
      <w:tr>
        <w:trPr>
          <w:cantSplit/>
        </w:trPr>
        <w:tc>
          <w:tcPr>
            <w:tcW w:type="dxa" w:w="6412"/>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Materi &amp; RPS terpusat</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6</w:t>
            </w:r>
          </w:p>
        </w:tc>
      </w:tr>
      <w:tr>
        <w:trPr>
          <w:cantSplit/>
        </w:trPr>
        <w:tc>
          <w:tcPr>
            <w:tcW w:type="dxa" w:w="641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Nilai &amp; rubrik transparan; tugas &amp; umpan balik; video/rekaman kuliah</w:t>
            </w:r>
          </w:p>
        </w:tc>
        <w:tc>
          <w:tcPr>
            <w:tcW w:type="dxa" w:w="3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4 masing-masing</w:t>
            </w:r>
          </w:p>
        </w:tc>
      </w:tr>
      <w:tr>
        <w:trPr>
          <w:cantSplit/>
        </w:trPr>
        <w:tc>
          <w:tcPr>
            <w:tcW w:type="dxa" w:w="6412"/>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Forum diskusi; presensi online</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3 masing-masing</w:t>
            </w:r>
          </w:p>
        </w:tc>
      </w:tr>
      <w:tr>
        <w:trPr>
          <w:cantSplit/>
        </w:trPr>
        <w:tc>
          <w:tcPr>
            <w:tcW w:type="dxa" w:w="641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Evaluasi dosen oleh mahasiswa; pengumuman &amp; notifikasi</w:t>
            </w:r>
          </w:p>
        </w:tc>
        <w:tc>
          <w:tcPr>
            <w:tcW w:type="dxa" w:w="3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2 masing-masing</w:t>
            </w:r>
          </w:p>
        </w:tc>
      </w:tr>
      <w:tr>
        <w:trPr>
          <w:cantSplit/>
        </w:trPr>
        <w:tc>
          <w:tcPr>
            <w:tcW w:type="dxa" w:w="6412"/>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Peringatan dini akademik; ujian/kuis daring</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1 masing-masing</w:t>
            </w:r>
          </w:p>
        </w:tc>
      </w:tr>
    </w:tbl>
    <w:p>
      <w:pPr>
        <w:spacing w:after="100" w:line="300"/>
        <w:jc w:val="both"/>
      </w:pPr>
      <w:r>
        <w:rPr>
          <w:rFonts w:ascii="Calibri" w:cs="Calibri" w:eastAsia="Calibri" w:hAnsi="Calibri"/>
          <w:b/>
          <w:bCs/>
          <w:sz w:val="22"/>
          <w:szCs w:val="22"/>
        </w:rPr>
        <w:t xml:space="preserve">Saran terbuka (3 jawaban): </w:t>
      </w:r>
      <w:r>
        <w:rPr>
          <w:rFonts w:ascii="Calibri" w:cs="Calibri" w:eastAsia="Calibri" w:hAnsi="Calibri"/>
          <w:sz w:val="22"/>
          <w:szCs w:val="22"/>
        </w:rPr>
        <w:t xml:space="preserve">"konfirmasi kehadiran para dosen terkait kelas offline"; "Lanjutkan"; dan harapan agar LMS memudahkan proses belajar mengajar di STEI FI.</w:t>
      </w:r>
    </w:p>
    <w:p>
      <w:pPr>
        <w:pStyle w:val="Heading2"/>
        <w:keepNext/>
        <w:spacing w:after="100" w:before="220"/>
      </w:pPr>
      <w:r>
        <w:rPr>
          <w:rFonts w:ascii="Calibri" w:cs="Calibri" w:eastAsia="Calibri" w:hAnsi="Calibri"/>
          <w:b/>
          <w:bCs/>
          <w:color w:val="14532D"/>
          <w:sz w:val="25"/>
          <w:szCs w:val="25"/>
        </w:rPr>
        <w:t xml:space="preserve">3.2 Implikasi bagi Rancangan</w:t>
      </w:r>
    </w:p>
    <w:p>
      <w:pPr>
        <w:spacing w:after="120" w:line="300"/>
        <w:jc w:val="both"/>
      </w:pPr>
      <w:r>
        <w:rPr>
          <w:rFonts w:ascii="Calibri" w:cs="Calibri" w:eastAsia="Calibri" w:hAnsi="Calibri"/>
          <w:b/>
          <w:bCs/>
          <w:sz w:val="22"/>
          <w:szCs w:val="22"/>
        </w:rPr>
        <w:t xml:space="preserve">Prioritas modul. </w:t>
      </w:r>
      <w:r>
        <w:rPr>
          <w:rFonts w:ascii="Calibri" w:cs="Calibri" w:eastAsia="Calibri" w:hAnsi="Calibri"/>
          <w:sz w:val="22"/>
          <w:szCs w:val="22"/>
        </w:rPr>
        <w:t xml:space="preserve">Materi terpusat menjadi inti pertama, disusul penilaian dengan rubrik, tugas, dan video. Presensi dan forum berada di tingkat menengah, sedangkan peringatan dini dan ujian daring baru diminta satu responden. Kebutuhan institusi berbeda dari permintaan pengguna: presensi dan penilaian tetap diperlukan sebagai bukti akreditasi meskipun permintaannya sedang. Urutan berikut menyeimbangkan keduanya.</w:t>
      </w:r>
    </w:p>
    <w:p>
      <w:pPr>
        <w:keepNext/>
        <w:spacing w:after="80" w:before="160"/>
      </w:pPr>
      <w:r>
        <w:rPr>
          <w:rFonts w:ascii="Calibri" w:cs="Calibri" w:eastAsia="Calibri" w:hAnsi="Calibri"/>
          <w:b/>
          <w:bCs/>
          <w:color w:val="374151"/>
          <w:sz w:val="20"/>
          <w:szCs w:val="20"/>
        </w:rPr>
        <w:t xml:space="preserve">Tabel 3. Urutan modul</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912"/>
      </w:tblGrid>
      <w:tr>
        <w:trPr>
          <w:cantSplit/>
          <w:tblHeader/>
        </w:trPr>
        <w:tc>
          <w:tcPr>
            <w:tcW w:type="dxa" w:w="1500"/>
            <w:tcBorders>
              <w:top w:val="single" w:color="D1D5DB" w:sz="4"/>
              <w:left w:val="single" w:color="D1D5DB" w:sz="4"/>
              <w:bottom w:val="single" w:color="D1D5DB" w:sz="4"/>
              <w:right w:val="single" w:color="D1D5DB" w:sz="4"/>
            </w:tcBorders>
            <w:shd w:fill="1A6B3C"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Tahap</w:t>
            </w:r>
          </w:p>
        </w:tc>
        <w:tc>
          <w:tcPr>
            <w:tcW w:type="dxa" w:w="4000"/>
            <w:tcBorders>
              <w:top w:val="single" w:color="D1D5DB" w:sz="4"/>
              <w:left w:val="single" w:color="D1D5DB" w:sz="4"/>
              <w:bottom w:val="single" w:color="D1D5DB" w:sz="4"/>
              <w:right w:val="single" w:color="D1D5DB" w:sz="4"/>
            </w:tcBorders>
            <w:shd w:fill="1A6B3C"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Modul</w:t>
            </w:r>
          </w:p>
        </w:tc>
        <w:tc>
          <w:tcPr>
            <w:tcW w:type="dxa" w:w="3912"/>
            <w:tcBorders>
              <w:top w:val="single" w:color="D1D5DB" w:sz="4"/>
              <w:left w:val="single" w:color="D1D5DB" w:sz="4"/>
              <w:bottom w:val="single" w:color="D1D5DB" w:sz="4"/>
              <w:right w:val="single" w:color="D1D5DB" w:sz="4"/>
            </w:tcBorders>
            <w:shd w:fill="1A6B3C"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Dasar</w:t>
            </w:r>
          </w:p>
        </w:tc>
      </w:tr>
      <w:tr>
        <w:trPr>
          <w:cantSplit/>
        </w:trPr>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Inti</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Materi &amp; RPS terpusat; tugas dan umpan balik; nilai dan rubrik</w:t>
            </w:r>
          </w:p>
        </w:tc>
        <w:tc>
          <w:tcPr>
            <w:tcW w:type="dxa" w:w="3912"/>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Permintaan pengguna tinggi, juga kebutuhan bukti mutu</w:t>
            </w:r>
          </w:p>
        </w:tc>
      </w:tr>
      <w:tr>
        <w:trPr>
          <w:cantSplit/>
        </w:trPr>
        <w:tc>
          <w:tcPr>
            <w:tcW w:type="dxa" w:w="1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Inti</w:t>
            </w:r>
          </w:p>
        </w:tc>
        <w:tc>
          <w:tcPr>
            <w:tcW w:type="dxa" w:w="4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Presensi mahasiswa dan dosen</w:t>
            </w:r>
          </w:p>
        </w:tc>
        <w:tc>
          <w:tcPr>
            <w:tcW w:type="dxa" w:w="391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Kebutuhan institusi (SK mengajar, beban dosen)</w:t>
            </w:r>
          </w:p>
        </w:tc>
      </w:tr>
      <w:tr>
        <w:trPr>
          <w:cantSplit/>
        </w:trPr>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Inti ringan</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Video/rekaman kuliah dalam format hemat data</w:t>
            </w:r>
          </w:p>
        </w:tc>
        <w:tc>
          <w:tcPr>
            <w:tcW w:type="dxa" w:w="3912"/>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Diminta 4 dari 7 responden</w:t>
            </w:r>
          </w:p>
        </w:tc>
      </w:tr>
      <w:tr>
        <w:trPr>
          <w:cantSplit/>
        </w:trPr>
        <w:tc>
          <w:tcPr>
            <w:tcW w:type="dxa" w:w="1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Lanjutan</w:t>
            </w:r>
          </w:p>
        </w:tc>
        <w:tc>
          <w:tcPr>
            <w:tcW w:type="dxa" w:w="4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Forum, pengumuman dan notifikasi, evaluasi dosen</w:t>
            </w:r>
          </w:p>
        </w:tc>
        <w:tc>
          <w:tcPr>
            <w:tcW w:type="dxa" w:w="391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Permintaan menengah</w:t>
            </w:r>
          </w:p>
        </w:tc>
      </w:tr>
      <w:tr>
        <w:trPr>
          <w:cantSplit/>
        </w:trPr>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Lanjutan</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Peringatan dini dan ujian daring</w:t>
            </w:r>
          </w:p>
        </w:tc>
        <w:tc>
          <w:tcPr>
            <w:tcW w:type="dxa" w:w="3912"/>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Permintaan rendah pada survei ini</w:t>
            </w:r>
          </w:p>
        </w:tc>
      </w:tr>
    </w:tbl>
    <w:p>
      <w:pPr>
        <w:spacing w:after="80"/>
      </w:pPr>
    </w:p>
    <w:p>
      <w:pPr>
        <w:spacing w:after="120" w:line="300"/>
        <w:jc w:val="both"/>
      </w:pPr>
      <w:r>
        <w:rPr>
          <w:rFonts w:ascii="Calibri" w:cs="Calibri" w:eastAsia="Calibri" w:hAnsi="Calibri"/>
          <w:b/>
          <w:bCs/>
          <w:sz w:val="22"/>
          <w:szCs w:val="22"/>
        </w:rPr>
        <w:t xml:space="preserve">Rancangan untuk koneksi terbatas. </w:t>
      </w:r>
      <w:r>
        <w:rPr>
          <w:rFonts w:ascii="Calibri" w:cs="Calibri" w:eastAsia="Calibri" w:hAnsi="Calibri"/>
          <w:sz w:val="22"/>
          <w:szCs w:val="22"/>
        </w:rPr>
        <w:t xml:space="preserve">Karena 6 dari 7 responden melaporkan hambatan kuota atau koneksi, dan 5 dari 7 memakai HP sebagai perangkat utama atau salah satunya, tampilan di HP menjadi syarat, bukan tambahan. Kriteria pemilihan platform perlu memuat aplikasi seluler, kemampuan mengunduh materi untuk dibaca tanpa koneksi, dan video dengan kualitas yang dapat diatur. Kemampuan tiap platform perlu diverifikasi pada uji coba, tidak cukup dari dokumentasi.</w:t>
      </w:r>
    </w:p>
    <w:p>
      <w:pPr>
        <w:spacing w:after="120" w:line="300"/>
        <w:jc w:val="both"/>
      </w:pPr>
      <w:r>
        <w:rPr>
          <w:rFonts w:ascii="Calibri" w:cs="Calibri" w:eastAsia="Calibri" w:hAnsi="Calibri"/>
          <w:b/>
          <w:bCs/>
          <w:sz w:val="22"/>
          <w:szCs w:val="22"/>
        </w:rPr>
        <w:t xml:space="preserve">Pelatihan. </w:t>
      </w:r>
      <w:r>
        <w:rPr>
          <w:rFonts w:ascii="Calibri" w:cs="Calibri" w:eastAsia="Calibri" w:hAnsi="Calibri"/>
          <w:sz w:val="22"/>
          <w:szCs w:val="22"/>
        </w:rPr>
        <w:t xml:space="preserve">Tidak ada responden yang menyatakan belum siap, dan 4 dari 7 memilih tatap muka. Rancangan pelatihan: orientasi tatap muka per program studi di awal semester genap, dengan video pendek sebagai pendukung. Mengingat bias pemilihan sendiri, kesiapan ini kemungkinan lebih tinggi daripada kesiapan seluruh sivitas.</w:t>
      </w:r>
    </w:p>
    <w:p>
      <w:pPr>
        <w:pStyle w:val="Heading2"/>
        <w:keepNext/>
        <w:spacing w:after="100" w:before="220"/>
      </w:pPr>
      <w:r>
        <w:rPr>
          <w:rFonts w:ascii="Calibri" w:cs="Calibri" w:eastAsia="Calibri" w:hAnsi="Calibri"/>
          <w:b/>
          <w:bCs/>
          <w:color w:val="14532D"/>
          <w:sz w:val="25"/>
          <w:szCs w:val="25"/>
        </w:rPr>
        <w:t xml:space="preserve">3.3 Perbandingan Opsi Platform</w:t>
      </w:r>
    </w:p>
    <w:p>
      <w:pPr>
        <w:keepNext/>
        <w:spacing w:after="80" w:before="160"/>
      </w:pPr>
      <w:r>
        <w:rPr>
          <w:rFonts w:ascii="Calibri" w:cs="Calibri" w:eastAsia="Calibri" w:hAnsi="Calibri"/>
          <w:b/>
          <w:bCs/>
          <w:color w:val="374151"/>
          <w:sz w:val="20"/>
          <w:szCs w:val="20"/>
        </w:rPr>
        <w:t xml:space="preserve">Tabel 4. Opsi dan kesesuaian dengan temuan (interpretasi penyusun)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700"/>
        <w:gridCol w:w="2112"/>
      </w:tblGrid>
      <w:tr>
        <w:trPr>
          <w:cantSplit/>
          <w:tblHeader/>
        </w:trPr>
        <w:tc>
          <w:tcPr>
            <w:tcW w:type="dxa" w:w="1700"/>
            <w:tcBorders>
              <w:top w:val="single" w:color="D1D5DB" w:sz="4"/>
              <w:left w:val="single" w:color="D1D5DB" w:sz="4"/>
              <w:bottom w:val="single" w:color="D1D5DB" w:sz="4"/>
              <w:right w:val="single" w:color="D1D5DB" w:sz="4"/>
            </w:tcBorders>
            <w:shd w:fill="1A6B3C"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Opsi</w:t>
            </w:r>
          </w:p>
        </w:tc>
        <w:tc>
          <w:tcPr>
            <w:tcW w:type="dxa" w:w="2900"/>
            <w:tcBorders>
              <w:top w:val="single" w:color="D1D5DB" w:sz="4"/>
              <w:left w:val="single" w:color="D1D5DB" w:sz="4"/>
              <w:bottom w:val="single" w:color="D1D5DB" w:sz="4"/>
              <w:right w:val="single" w:color="D1D5DB" w:sz="4"/>
            </w:tcBorders>
            <w:shd w:fill="1A6B3C"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Kesesuaian dengan temuan</w:t>
            </w:r>
          </w:p>
        </w:tc>
        <w:tc>
          <w:tcPr>
            <w:tcW w:type="dxa" w:w="2700"/>
            <w:tcBorders>
              <w:top w:val="single" w:color="D1D5DB" w:sz="4"/>
              <w:left w:val="single" w:color="D1D5DB" w:sz="4"/>
              <w:bottom w:val="single" w:color="D1D5DB" w:sz="4"/>
              <w:right w:val="single" w:color="D1D5DB" w:sz="4"/>
            </w:tcBorders>
            <w:shd w:fill="1A6B3C"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Kelemahan</w:t>
            </w:r>
          </w:p>
        </w:tc>
        <w:tc>
          <w:tcPr>
            <w:tcW w:type="dxa" w:w="2112"/>
            <w:tcBorders>
              <w:top w:val="single" w:color="D1D5DB" w:sz="4"/>
              <w:left w:val="single" w:color="D1D5DB" w:sz="4"/>
              <w:bottom w:val="single" w:color="D1D5DB" w:sz="4"/>
              <w:right w:val="single" w:color="D1D5DB" w:sz="4"/>
            </w:tcBorders>
            <w:shd w:fill="1A6B3C"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Syarat</w:t>
            </w:r>
          </w:p>
        </w:tc>
      </w:tr>
      <w:tr>
        <w:trPr>
          <w:cantSplit/>
        </w:trPr>
        <w:tc>
          <w:tcPr>
            <w:tcW w:type="dxa" w:w="17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0. Memaksimalkan SISCA</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Tidak mengharuskan sistem baru</w:t>
            </w:r>
          </w:p>
        </w:tc>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Pemakaian pembelajaran saat ini sangat rendah (4 dari 7 belum pernah memakainya)</w:t>
            </w:r>
          </w:p>
        </w:tc>
        <w:tc>
          <w:tcPr>
            <w:tcW w:type="dxa" w:w="2112"/>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Hasil audit fitur e-learning</w:t>
            </w:r>
          </w:p>
        </w:tc>
      </w:tr>
      <w:tr>
        <w:trPr>
          <w:cantSplit/>
        </w:trPr>
        <w:tc>
          <w:tcPr>
            <w:tcW w:type="dxa" w:w="1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A. Moodle</w:t>
            </w:r>
          </w:p>
        </w:tc>
        <w:tc>
          <w:tcPr>
            <w:tcW w:type="dxa" w:w="2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Mencakup materi, rubrik, tugas, forum, dan presensi dengan jejak audit</w:t>
            </w:r>
          </w:p>
        </w:tc>
        <w:tc>
          <w:tcPr>
            <w:tcW w:type="dxa" w:w="2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Platform baru bagi semua pengguna; perlu hosting dan pelatihan</w:t>
            </w:r>
          </w:p>
        </w:tc>
        <w:tc>
          <w:tcPr>
            <w:tcW w:type="dxa" w:w="211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Kapasitas TI atau hosting terkelola; uji tampilan seluler</w:t>
            </w:r>
          </w:p>
        </w:tc>
      </w:tr>
      <w:tr>
        <w:trPr>
          <w:cantSplit/>
        </w:trPr>
        <w:tc>
          <w:tcPr>
            <w:tcW w:type="dxa" w:w="17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B. Google Classroom + Drive</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Dekat dengan kebiasaan (Drive 6, Meet 5, Classroom 4); adopsi cepat</w:t>
            </w:r>
          </w:p>
        </w:tc>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Jejak audit, rubrik, dan presensi terbatas; ketergantungan penyedia</w:t>
            </w:r>
          </w:p>
        </w:tc>
        <w:tc>
          <w:tcPr>
            <w:tcW w:type="dxa" w:w="2112"/>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Templat penilaian dan presensi terstandar</w:t>
            </w:r>
          </w:p>
        </w:tc>
      </w:tr>
      <w:tr>
        <w:trPr>
          <w:cantSplit/>
        </w:trPr>
        <w:tc>
          <w:tcPr>
            <w:tcW w:type="dxa" w:w="1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C. Bangun sendiri</w:t>
            </w:r>
          </w:p>
        </w:tc>
        <w:tc>
          <w:tcPr>
            <w:tcW w:type="dxa" w:w="2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Tidak sesuai</w:t>
            </w:r>
          </w:p>
        </w:tc>
        <w:tc>
          <w:tcPr>
            <w:tcW w:type="dxa" w:w="2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Risiko keamanan dan pemeliharaan</w:t>
            </w:r>
          </w:p>
        </w:tc>
        <w:tc>
          <w:tcPr>
            <w:tcW w:type="dxa" w:w="211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Tidak direkomendasikan</w:t>
            </w:r>
          </w:p>
        </w:tc>
      </w:tr>
    </w:tbl>
    <w:p>
      <w:pPr>
        <w:spacing w:after="80"/>
      </w:pPr>
    </w:p>
    <w:p>
      <w:pPr>
        <w:spacing w:after="120" w:line="300"/>
        <w:jc w:val="both"/>
      </w:pPr>
      <w:r>
        <w:rPr>
          <w:rFonts w:ascii="Calibri" w:cs="Calibri" w:eastAsia="Calibri" w:hAnsi="Calibri"/>
          <w:sz w:val="22"/>
          <w:szCs w:val="22"/>
        </w:rPr>
        <w:t xml:space="preserve">Biaya, kapasitas TI, dan jumlah pengguna tetap tidak tersedia pada dokumen yang diperiksa, sehingga tidak diestimasi dalam laporan ini.</w:t>
      </w:r>
    </w:p>
    <w:p>
      <w:pPr>
        <w:pStyle w:val="Heading2"/>
        <w:keepNext/>
        <w:spacing w:after="100" w:before="220"/>
      </w:pPr>
      <w:r>
        <w:rPr>
          <w:rFonts w:ascii="Calibri" w:cs="Calibri" w:eastAsia="Calibri" w:hAnsi="Calibri"/>
          <w:b/>
          <w:bCs/>
          <w:color w:val="14532D"/>
          <w:sz w:val="25"/>
          <w:szCs w:val="25"/>
        </w:rPr>
        <w:t xml:space="preserve">3.4 Risiko</w:t>
      </w:r>
    </w:p>
    <w:p>
      <w:pPr>
        <w:keepNext/>
        <w:spacing w:after="80" w:before="160"/>
      </w:pPr>
      <w:r>
        <w:rPr>
          <w:rFonts w:ascii="Calibri" w:cs="Calibri" w:eastAsia="Calibri" w:hAnsi="Calibri"/>
          <w:b/>
          <w:bCs/>
          <w:color w:val="374151"/>
          <w:sz w:val="20"/>
          <w:szCs w:val="20"/>
        </w:rPr>
        <w:t xml:space="preserve">Tabel 5. Risiko utama dan mitigasi</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000"/>
        <w:gridCol w:w="6412"/>
      </w:tblGrid>
      <w:tr>
        <w:trPr>
          <w:cantSplit/>
          <w:tblHeader/>
        </w:trPr>
        <w:tc>
          <w:tcPr>
            <w:tcW w:type="dxa" w:w="3000"/>
            <w:tcBorders>
              <w:top w:val="single" w:color="D1D5DB" w:sz="4"/>
              <w:left w:val="single" w:color="D1D5DB" w:sz="4"/>
              <w:bottom w:val="single" w:color="D1D5DB" w:sz="4"/>
              <w:right w:val="single" w:color="D1D5DB" w:sz="4"/>
            </w:tcBorders>
            <w:shd w:fill="1A6B3C"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Risiko</w:t>
            </w:r>
          </w:p>
        </w:tc>
        <w:tc>
          <w:tcPr>
            <w:tcW w:type="dxa" w:w="6412"/>
            <w:tcBorders>
              <w:top w:val="single" w:color="D1D5DB" w:sz="4"/>
              <w:left w:val="single" w:color="D1D5DB" w:sz="4"/>
              <w:bottom w:val="single" w:color="D1D5DB" w:sz="4"/>
              <w:right w:val="single" w:color="D1D5DB" w:sz="4"/>
            </w:tcBorders>
            <w:shd w:fill="1A6B3C"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Mitigasi</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Kuota dan koneksi pengguna</w:t>
            </w:r>
          </w:p>
        </w:tc>
        <w:tc>
          <w:tcPr>
            <w:tcW w:type="dxa" w:w="6412"/>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Materi ringan, video hemat data, unduhan untuk dibaca tanpa koneksi</w:t>
            </w:r>
          </w:p>
        </w:tc>
      </w:tr>
      <w:tr>
        <w:trPr>
          <w:cantSplit/>
        </w:trPr>
        <w:tc>
          <w:tcPr>
            <w:tcW w:type="dxa" w:w="3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Adopsi rendah karena SISCA hampir tidak dipakai</w:t>
            </w:r>
          </w:p>
        </w:tc>
        <w:tc>
          <w:tcPr>
            <w:tcW w:type="dxa" w:w="641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Orientasi tatap muka, templat kelas dari RPS, pendampingan pilot</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Terlalu banyak aplikasi tersebar</w:t>
            </w:r>
          </w:p>
        </w:tc>
        <w:tc>
          <w:tcPr>
            <w:tcW w:type="dxa" w:w="6412"/>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Satu pintu masuk dan kebijakan jelas tentang alat yang dipakai</w:t>
            </w:r>
          </w:p>
        </w:tc>
      </w:tr>
      <w:tr>
        <w:trPr>
          <w:cantSplit/>
        </w:trPr>
        <w:tc>
          <w:tcPr>
            <w:tcW w:type="dxa" w:w="30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Kebocoran data pribadi (UU No. 27 Tahun 2022)</w:t>
            </w:r>
          </w:p>
        </w:tc>
        <w:tc>
          <w:tcPr>
            <w:tcW w:type="dxa" w:w="641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Akun per pengguna, hak akses per peran, wajib ganti kata sandi awal</w:t>
            </w:r>
          </w:p>
        </w:tc>
      </w:tr>
      <w:tr>
        <w:trPr>
          <w:cantSplit/>
        </w:trP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Bias data survei</w:t>
            </w:r>
          </w:p>
        </w:tc>
        <w:tc>
          <w:tcPr>
            <w:tcW w:type="dxa" w:w="6412"/>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Lanjutkan survei dengan sasaran mahasiswa dan tenaga kependidikan</w:t>
            </w:r>
          </w:p>
        </w:tc>
      </w:tr>
    </w:tbl>
    <w:p>
      <w:pPr>
        <w:pStyle w:val="Heading2"/>
        <w:keepNext/>
        <w:spacing w:after="100" w:before="220"/>
      </w:pPr>
      <w:r>
        <w:rPr>
          <w:rFonts w:ascii="Calibri" w:cs="Calibri" w:eastAsia="Calibri" w:hAnsi="Calibri"/>
          <w:b/>
          <w:bCs/>
          <w:color w:val="14532D"/>
          <w:sz w:val="25"/>
          <w:szCs w:val="25"/>
        </w:rPr>
        <w:t xml:space="preserve">3.5 Garis Dasar dan Indikator Keberhasilan</w:t>
      </w:r>
    </w:p>
    <w:p>
      <w:pPr>
        <w:keepNext/>
        <w:spacing w:after="80" w:before="160"/>
      </w:pPr>
      <w:r>
        <w:rPr>
          <w:rFonts w:ascii="Calibri" w:cs="Calibri" w:eastAsia="Calibri" w:hAnsi="Calibri"/>
          <w:b/>
          <w:bCs/>
          <w:color w:val="374151"/>
          <w:sz w:val="20"/>
          <w:szCs w:val="20"/>
        </w:rPr>
        <w:t xml:space="preserve">Tabel 6. Indikator dengan garis dasar dari survei (target usulan, belum disepakati)</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412"/>
      </w:tblGrid>
      <w:tr>
        <w:trPr>
          <w:cantSplit/>
          <w:tblHeader/>
        </w:trPr>
        <w:tc>
          <w:tcPr>
            <w:tcW w:type="dxa" w:w="3600"/>
            <w:tcBorders>
              <w:top w:val="single" w:color="D1D5DB" w:sz="4"/>
              <w:left w:val="single" w:color="D1D5DB" w:sz="4"/>
              <w:bottom w:val="single" w:color="D1D5DB" w:sz="4"/>
              <w:right w:val="single" w:color="D1D5DB" w:sz="4"/>
            </w:tcBorders>
            <w:shd w:fill="1A6B3C"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Indikator</w:t>
            </w:r>
          </w:p>
        </w:tc>
        <w:tc>
          <w:tcPr>
            <w:tcW w:type="dxa" w:w="2400"/>
            <w:tcBorders>
              <w:top w:val="single" w:color="D1D5DB" w:sz="4"/>
              <w:left w:val="single" w:color="D1D5DB" w:sz="4"/>
              <w:bottom w:val="single" w:color="D1D5DB" w:sz="4"/>
              <w:right w:val="single" w:color="D1D5DB" w:sz="4"/>
            </w:tcBorders>
            <w:shd w:fill="1A6B3C"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Garis dasar (n = 7)</w:t>
            </w:r>
          </w:p>
        </w:tc>
        <w:tc>
          <w:tcPr>
            <w:tcW w:type="dxa" w:w="3412"/>
            <w:tcBorders>
              <w:top w:val="single" w:color="D1D5DB" w:sz="4"/>
              <w:left w:val="single" w:color="D1D5DB" w:sz="4"/>
              <w:bottom w:val="single" w:color="D1D5DB" w:sz="4"/>
              <w:right w:val="single" w:color="D1D5DB" w:sz="4"/>
            </w:tcBorders>
            <w:shd w:fill="1A6B3C"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19"/>
                <w:szCs w:val="19"/>
              </w:rPr>
              <w:t xml:space="preserve">Target</w:t>
            </w:r>
          </w:p>
        </w:tc>
      </w:tr>
      <w:tr>
        <w:trPr>
          <w:cantSplit/>
        </w:trPr>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Responden yang belum pernah memakai SISCA</w:t>
            </w:r>
          </w:p>
        </w:tc>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4 dari 7</w:t>
            </w:r>
          </w:p>
        </w:tc>
        <w:tc>
          <w:tcPr>
            <w:tcW w:type="dxa" w:w="3412"/>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Diturunkan setelah pelatihan</w:t>
            </w:r>
          </w:p>
        </w:tc>
      </w:tr>
      <w:tr>
        <w:trPr>
          <w:cantSplit/>
        </w:trPr>
        <w:tc>
          <w:tcPr>
            <w:tcW w:type="dxa" w:w="3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Kualitas koneksi menurut pengguna</w:t>
            </w:r>
          </w:p>
        </w:tc>
        <w:tc>
          <w:tcPr>
            <w:tcW w:type="dxa" w:w="2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3,86 dari 5</w:t>
            </w:r>
          </w:p>
        </w:tc>
        <w:tc>
          <w:tcPr>
            <w:tcW w:type="dxa" w:w="341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Tidak diturunkan oleh beban LMS</w:t>
            </w:r>
          </w:p>
        </w:tc>
      </w:tr>
      <w:tr>
        <w:trPr>
          <w:cantSplit/>
        </w:trPr>
        <w:tc>
          <w:tcPr>
            <w:tcW w:type="dxa" w:w="36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Kelas pilot dengan RPS dan bahan ajar lengkap</w:t>
            </w:r>
          </w:p>
        </w:tc>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Belum diukur</w:t>
            </w:r>
          </w:p>
        </w:tc>
        <w:tc>
          <w:tcPr>
            <w:tcW w:type="dxa" w:w="3412"/>
            <w:tcBorders>
              <w:top w:val="single" w:color="D1D5DB" w:sz="4"/>
              <w:left w:val="single" w:color="D1D5DB" w:sz="4"/>
              <w:bottom w:val="single" w:color="D1D5DB" w:sz="4"/>
              <w:right w:val="single" w:color="D1D5DB" w:sz="4"/>
            </w:tcBorders>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100% pada kelas pilot</w:t>
            </w:r>
          </w:p>
        </w:tc>
      </w:tr>
      <w:tr>
        <w:trPr>
          <w:cantSplit/>
        </w:trPr>
        <w:tc>
          <w:tcPr>
            <w:tcW w:type="dxa" w:w="3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bCs/>
                <w:sz w:val="19"/>
                <w:szCs w:val="19"/>
              </w:rPr>
              <w:t xml:space="preserve">Kepuasan dan kemanfaatan LMS</w:t>
            </w:r>
          </w:p>
        </w:tc>
        <w:tc>
          <w:tcPr>
            <w:tcW w:type="dxa" w:w="2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Belum diukur</w:t>
            </w:r>
          </w:p>
        </w:tc>
        <w:tc>
          <w:tcPr>
            <w:tcW w:type="dxa" w:w="3412"/>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vAlign w:val="center"/>
          </w:tcPr>
          <w:p>
            <w:pPr>
              <w:spacing w:after="0" w:line="260"/>
              <w:jc w:val="left"/>
            </w:pPr>
            <w:r>
              <w:rPr>
                <w:rFonts w:ascii="Calibri" w:cs="Calibri" w:eastAsia="Calibri" w:hAnsi="Calibri"/>
                <w:b w:val="false"/>
                <w:bCs w:val="false"/>
                <w:sz w:val="19"/>
                <w:szCs w:val="19"/>
              </w:rPr>
              <w:t xml:space="preserve">Ditetapkan setelah garis dasar pilot</w:t>
            </w:r>
          </w:p>
        </w:tc>
      </w:tr>
    </w:tbl>
    <w:p>
      <w:pPr>
        <w:spacing w:after="80"/>
      </w:pPr>
    </w:p>
    <w:p>
      <w:pPr>
        <w:keepNext/>
        <w:spacing w:after="80" w:before="160"/>
      </w:pPr>
      <w:r>
        <w:rPr>
          <w:rFonts w:ascii="Calibri" w:cs="Calibri" w:eastAsia="Calibri" w:hAnsi="Calibri"/>
          <w:b/>
          <w:bCs/>
          <w:color w:val="374151"/>
          <w:sz w:val="20"/>
          <w:szCs w:val="20"/>
        </w:rPr>
        <w:t xml:space="preserve">Peta jalan</w:t>
      </w:r>
    </w:p>
    <w:p>
      <w:pPr>
        <w:pStyle w:val="ListParagraph"/>
        <w:numPr>
          <w:ilvl w:val="0"/>
          <w:numId w:val="3"/>
        </w:numPr>
        <w:spacing w:after="70" w:line="290"/>
      </w:pPr>
      <w:r>
        <w:rPr>
          <w:rFonts w:ascii="Calibri" w:cs="Calibri" w:eastAsia="Calibri" w:hAnsi="Calibri"/>
          <w:b/>
          <w:bCs/>
          <w:sz w:val="22"/>
          <w:szCs w:val="22"/>
        </w:rPr>
        <w:t xml:space="preserve">Fase 0 (Oktober–Desember 2026): </w:t>
      </w:r>
      <w:r>
        <w:rPr>
          <w:rFonts w:ascii="Calibri" w:cs="Calibri" w:eastAsia="Calibri" w:hAnsi="Calibri"/>
          <w:sz w:val="22"/>
          <w:szCs w:val="22"/>
        </w:rPr>
        <w:t xml:space="preserve">audit SISCA, survei lanjutan, keputusan platform dan hosting, anggaran.</w:t>
      </w:r>
    </w:p>
    <w:p>
      <w:pPr>
        <w:pStyle w:val="ListParagraph"/>
        <w:numPr>
          <w:ilvl w:val="0"/>
          <w:numId w:val="3"/>
        </w:numPr>
        <w:spacing w:after="70" w:line="290"/>
      </w:pPr>
      <w:r>
        <w:rPr>
          <w:rFonts w:ascii="Calibri" w:cs="Calibri" w:eastAsia="Calibri" w:hAnsi="Calibri"/>
          <w:b/>
          <w:bCs/>
          <w:sz w:val="22"/>
          <w:szCs w:val="22"/>
        </w:rPr>
        <w:t xml:space="preserve">Pilot (semester genap 2026/2027): </w:t>
      </w:r>
      <w:r>
        <w:rPr>
          <w:rFonts w:ascii="Calibri" w:cs="Calibri" w:eastAsia="Calibri" w:hAnsi="Calibri"/>
          <w:sz w:val="22"/>
          <w:szCs w:val="22"/>
        </w:rPr>
        <w:t xml:space="preserve">5–8 mata kuliah dari kedua program studi, orientasi tatap muka.</w:t>
      </w:r>
    </w:p>
    <w:p>
      <w:pPr>
        <w:pStyle w:val="ListParagraph"/>
        <w:numPr>
          <w:ilvl w:val="0"/>
          <w:numId w:val="3"/>
        </w:numPr>
        <w:spacing w:after="70" w:line="290"/>
      </w:pPr>
      <w:r>
        <w:rPr>
          <w:rFonts w:ascii="Calibri" w:cs="Calibri" w:eastAsia="Calibri" w:hAnsi="Calibri"/>
          <w:b/>
          <w:bCs/>
          <w:sz w:val="22"/>
          <w:szCs w:val="22"/>
        </w:rPr>
        <w:t xml:space="preserve">Perluasan (TA 2027/2028): </w:t>
      </w:r>
      <w:r>
        <w:rPr>
          <w:rFonts w:ascii="Calibri" w:cs="Calibri" w:eastAsia="Calibri" w:hAnsi="Calibri"/>
          <w:sz w:val="22"/>
          <w:szCs w:val="22"/>
        </w:rPr>
        <w:t xml:space="preserve">seluruh mata kuliah, integrasi terjadwal dengan SISCA, SOP LMS.</w:t>
      </w:r>
    </w:p>
    <w:p>
      <w:pPr>
        <w:spacing w:after="100" w:line="300"/>
        <w:jc w:val="both"/>
      </w:pPr>
      <w:r>
        <w:rPr>
          <w:rFonts w:ascii="Calibri" w:cs="Calibri" w:eastAsia="Calibri" w:hAnsi="Calibri"/>
          <w:sz w:val="22"/>
          <w:szCs w:val="22"/>
        </w:rPr>
        <w:t xml:space="preserve">Satu semester pilot hanya menghasilkan bukti terbatas untuk LED pada April 2027.</w:t>
      </w:r>
    </w:p>
    <w:p>
      <w:pPr>
        <w:pStyle w:val="Heading1"/>
        <w:keepNext/>
        <w:pBdr>
          <w:bottom w:val="single" w:color="1A6B3C" w:sz="6" w:space="2"/>
        </w:pBdr>
        <w:spacing w:after="140" w:before="320"/>
      </w:pPr>
      <w:r>
        <w:rPr>
          <w:rFonts w:ascii="Calibri" w:cs="Calibri" w:eastAsia="Calibri" w:hAnsi="Calibri"/>
          <w:b/>
          <w:bCs/>
          <w:color w:val="1A6B3C"/>
          <w:sz w:val="30"/>
          <w:szCs w:val="30"/>
        </w:rPr>
        <w:t xml:space="preserve">4. Kesimpulan dan Rekomendasi</w:t>
      </w:r>
    </w:p>
    <w:p>
      <w:pPr>
        <w:pStyle w:val="Heading2"/>
        <w:keepNext/>
        <w:spacing w:after="100" w:before="220"/>
      </w:pPr>
      <w:r>
        <w:rPr>
          <w:rFonts w:ascii="Calibri" w:cs="Calibri" w:eastAsia="Calibri" w:hAnsi="Calibri"/>
          <w:b/>
          <w:bCs/>
          <w:color w:val="14532D"/>
          <w:sz w:val="25"/>
          <w:szCs w:val="25"/>
        </w:rPr>
        <w:t xml:space="preserve">4.1 Kesimpulan</w:t>
      </w:r>
    </w:p>
    <w:p>
      <w:pPr>
        <w:pStyle w:val="ListParagraph"/>
        <w:numPr>
          <w:ilvl w:val="0"/>
          <w:numId w:val="2"/>
        </w:numPr>
        <w:spacing w:after="80" w:line="290"/>
      </w:pPr>
      <w:r>
        <w:rPr>
          <w:rFonts w:ascii="Calibri" w:cs="Calibri" w:eastAsia="Calibri" w:hAnsi="Calibri"/>
          <w:sz w:val="22"/>
          <w:szCs w:val="22"/>
        </w:rPr>
        <w:t xml:space="preserve">Berdasarkan data, kebutuhan terkuat adalah materi dan RPS terpusat, sedangkan hambatan terbesar adalah koneksi.</w:t>
      </w:r>
    </w:p>
    <w:p>
      <w:pPr>
        <w:pStyle w:val="ListParagraph"/>
        <w:numPr>
          <w:ilvl w:val="0"/>
          <w:numId w:val="2"/>
        </w:numPr>
        <w:spacing w:after="80" w:line="290"/>
      </w:pPr>
      <w:r>
        <w:rPr>
          <w:rFonts w:ascii="Calibri" w:cs="Calibri" w:eastAsia="Calibri" w:hAnsi="Calibri"/>
          <w:sz w:val="22"/>
          <w:szCs w:val="22"/>
        </w:rPr>
        <w:t xml:space="preserve">Dapat diinterpretasikan bahwa SISCA belum menjadi sarana pembelajaran, sehingga rancangan harus mengasumsikan pengguna memulai dari alat umum (Drive, WhatsApp, Meet).</w:t>
      </w:r>
    </w:p>
    <w:p>
      <w:pPr>
        <w:pStyle w:val="ListParagraph"/>
        <w:numPr>
          <w:ilvl w:val="0"/>
          <w:numId w:val="2"/>
        </w:numPr>
        <w:spacing w:after="80" w:line="290"/>
      </w:pPr>
      <w:r>
        <w:rPr>
          <w:rFonts w:ascii="Calibri" w:cs="Calibri" w:eastAsia="Calibri" w:hAnsi="Calibri"/>
          <w:sz w:val="22"/>
          <w:szCs w:val="22"/>
        </w:rPr>
        <w:t xml:space="preserve">Pilihan platform belum dapat difinalkan karena fitur e-learning SISCA dan kemampuan integrasinya belum dikonfirmasi.</w:t>
      </w:r>
    </w:p>
    <w:p>
      <w:pPr>
        <w:pStyle w:val="Heading2"/>
        <w:keepNext/>
        <w:spacing w:after="100" w:before="220"/>
      </w:pPr>
      <w:r>
        <w:rPr>
          <w:rFonts w:ascii="Calibri" w:cs="Calibri" w:eastAsia="Calibri" w:hAnsi="Calibri"/>
          <w:b/>
          <w:bCs/>
          <w:color w:val="14532D"/>
          <w:sz w:val="25"/>
          <w:szCs w:val="25"/>
        </w:rPr>
        <w:t xml:space="preserve">4.2 Rekomendasi</w:t>
      </w:r>
    </w:p>
    <w:p>
      <w:pPr>
        <w:pStyle w:val="ListParagraph"/>
        <w:numPr>
          <w:ilvl w:val="0"/>
          <w:numId w:val="2"/>
        </w:numPr>
        <w:spacing w:after="80" w:line="290"/>
      </w:pPr>
      <w:r>
        <w:rPr>
          <w:rFonts w:ascii="Calibri" w:cs="Calibri" w:eastAsia="Calibri" w:hAnsi="Calibri"/>
          <w:sz w:val="22"/>
          <w:szCs w:val="22"/>
        </w:rPr>
        <w:t xml:space="preserve">Selesaikan langkah A1–A4 pada checklist LMS (kontak pengembang SISCA, audit fitur, ekspor/API, login tunggal). Hasilnya menentukan Opsi 0 atau Opsi A.</w:t>
      </w:r>
    </w:p>
    <w:p>
      <w:pPr>
        <w:pStyle w:val="ListParagraph"/>
        <w:numPr>
          <w:ilvl w:val="0"/>
          <w:numId w:val="2"/>
        </w:numPr>
        <w:spacing w:after="80" w:line="290"/>
      </w:pPr>
      <w:r>
        <w:rPr>
          <w:rFonts w:ascii="Calibri" w:cs="Calibri" w:eastAsia="Calibri" w:hAnsi="Calibri"/>
          <w:sz w:val="22"/>
          <w:szCs w:val="22"/>
        </w:rPr>
        <w:t xml:space="preserve">Jadikan tampilan HP dan penggunaan hemat data sebagai syarat tertulis pemilihan platform.</w:t>
      </w:r>
    </w:p>
    <w:p>
      <w:pPr>
        <w:pStyle w:val="ListParagraph"/>
        <w:numPr>
          <w:ilvl w:val="0"/>
          <w:numId w:val="2"/>
        </w:numPr>
        <w:spacing w:after="80" w:line="290"/>
      </w:pPr>
      <w:r>
        <w:rPr>
          <w:rFonts w:ascii="Calibri" w:cs="Calibri" w:eastAsia="Calibri" w:hAnsi="Calibri"/>
          <w:sz w:val="22"/>
          <w:szCs w:val="22"/>
        </w:rPr>
        <w:t xml:space="preserve">Mulai pilot dari modul inti pada Tabel 3, dengan orientasi tatap muka per program studi.</w:t>
      </w:r>
    </w:p>
    <w:p>
      <w:pPr>
        <w:pStyle w:val="ListParagraph"/>
        <w:numPr>
          <w:ilvl w:val="0"/>
          <w:numId w:val="2"/>
        </w:numPr>
        <w:spacing w:after="80" w:line="290"/>
      </w:pPr>
      <w:r>
        <w:rPr>
          <w:rFonts w:ascii="Calibri" w:cs="Calibri" w:eastAsia="Calibri" w:hAnsi="Calibri"/>
          <w:sz w:val="22"/>
          <w:szCs w:val="22"/>
        </w:rPr>
        <w:t xml:space="preserve">Lanjutkan survei sampai paling sedikit sekitar 20 responden, dengan menyasar tenaga kependidikan dan lebih banyak mahasiswa, lalu tinjau ulang temuan.</w:t>
      </w:r>
    </w:p>
    <w:p>
      <w:pPr>
        <w:pStyle w:val="ListParagraph"/>
        <w:numPr>
          <w:ilvl w:val="0"/>
          <w:numId w:val="2"/>
        </w:numPr>
        <w:spacing w:after="80" w:line="290"/>
      </w:pPr>
      <w:r>
        <w:rPr>
          <w:rFonts w:ascii="Calibri" w:cs="Calibri" w:eastAsia="Calibri" w:hAnsi="Calibri"/>
          <w:sz w:val="22"/>
          <w:szCs w:val="22"/>
        </w:rPr>
        <w:t xml:space="preserve">Teruskan saran tentang konfirmasi kehadiran dosen pada kelas luring ke Prodi atau WK1. Isu ini di luar fungsi LMS tetapi berkaitan dengan fitur presensi dan pengumuman.</w:t>
      </w:r>
    </w:p>
    <w:p>
      <w:pPr>
        <w:pStyle w:val="Heading1"/>
        <w:keepNext/>
        <w:pBdr>
          <w:bottom w:val="single" w:color="1A6B3C" w:sz="6" w:space="2"/>
        </w:pBdr>
        <w:spacing w:after="140" w:before="320"/>
      </w:pPr>
      <w:r>
        <w:rPr>
          <w:rFonts w:ascii="Calibri" w:cs="Calibri" w:eastAsia="Calibri" w:hAnsi="Calibri"/>
          <w:b/>
          <w:bCs/>
          <w:color w:val="1A6B3C"/>
          <w:sz w:val="30"/>
          <w:szCs w:val="30"/>
        </w:rPr>
        <w:t xml:space="preserve">Daftar Pustaka</w:t>
      </w:r>
    </w:p>
    <w:p>
      <w:pPr>
        <w:spacing w:after="100" w:line="280"/>
        <w:ind w:left="567" w:hanging="567"/>
        <w:jc w:val="left"/>
      </w:pPr>
      <w:r>
        <w:rPr>
          <w:rFonts w:ascii="Calibri" w:cs="Calibri" w:eastAsia="Calibri" w:hAnsi="Calibri"/>
          <w:sz w:val="22"/>
          <w:szCs w:val="22"/>
        </w:rPr>
        <w:t xml:space="preserve">Davis, F. D. (1989). Perceived usefulness, perceived ease of use, and user acceptance of information technology. </w:t>
      </w:r>
      <w:r>
        <w:rPr>
          <w:rFonts w:ascii="Calibri" w:cs="Calibri" w:eastAsia="Calibri" w:hAnsi="Calibri"/>
          <w:i/>
          <w:iCs/>
          <w:sz w:val="22"/>
          <w:szCs w:val="22"/>
        </w:rPr>
        <w:t xml:space="preserve">MIS Quarterly, 13</w:t>
      </w:r>
      <w:r>
        <w:rPr>
          <w:rFonts w:ascii="Calibri" w:cs="Calibri" w:eastAsia="Calibri" w:hAnsi="Calibri"/>
          <w:sz w:val="22"/>
          <w:szCs w:val="22"/>
        </w:rPr>
        <w:t xml:space="preserve">(3), 319–340. https://doi.org/10.2307/249008</w:t>
      </w:r>
    </w:p>
    <w:p>
      <w:pPr>
        <w:spacing w:after="100" w:line="280"/>
        <w:ind w:left="567" w:hanging="567"/>
        <w:jc w:val="left"/>
      </w:pPr>
      <w:r>
        <w:rPr>
          <w:rFonts w:ascii="Calibri" w:cs="Calibri" w:eastAsia="Calibri" w:hAnsi="Calibri"/>
          <w:sz w:val="22"/>
          <w:szCs w:val="22"/>
        </w:rPr>
        <w:t xml:space="preserve">DeLone, W. H., &amp; McLean, E. R. (2003). The DeLone and McLean model of information systems success: A ten-year update. </w:t>
      </w:r>
      <w:r>
        <w:rPr>
          <w:rFonts w:ascii="Calibri" w:cs="Calibri" w:eastAsia="Calibri" w:hAnsi="Calibri"/>
          <w:i/>
          <w:iCs/>
          <w:sz w:val="22"/>
          <w:szCs w:val="22"/>
        </w:rPr>
        <w:t xml:space="preserve">Journal of Management Information Systems, 19</w:t>
      </w:r>
      <w:r>
        <w:rPr>
          <w:rFonts w:ascii="Calibri" w:cs="Calibri" w:eastAsia="Calibri" w:hAnsi="Calibri"/>
          <w:sz w:val="22"/>
          <w:szCs w:val="22"/>
        </w:rPr>
        <w:t xml:space="preserve">(4), 9–30. https://doi.org/10.1080/07421222.2003.11045748</w:t>
      </w:r>
    </w:p>
    <w:p>
      <w:pPr>
        <w:spacing w:after="100" w:line="280"/>
        <w:ind w:left="567" w:hanging="567"/>
        <w:jc w:val="left"/>
      </w:pPr>
      <w:r>
        <w:rPr>
          <w:rFonts w:ascii="Calibri" w:cs="Calibri" w:eastAsia="Calibri" w:hAnsi="Calibri"/>
          <w:sz w:val="22"/>
          <w:szCs w:val="22"/>
        </w:rPr>
        <w:t xml:space="preserve">Garrison, D. R., Anderson, T., &amp; Archer, W. (2000). Critical inquiry in a text-based environment: Computer conferencing in higher education. </w:t>
      </w:r>
      <w:r>
        <w:rPr>
          <w:rFonts w:ascii="Calibri" w:cs="Calibri" w:eastAsia="Calibri" w:hAnsi="Calibri"/>
          <w:i/>
          <w:iCs/>
          <w:sz w:val="22"/>
          <w:szCs w:val="22"/>
        </w:rPr>
        <w:t xml:space="preserve">The Internet and Higher Education, 2</w:t>
      </w:r>
      <w:r>
        <w:rPr>
          <w:rFonts w:ascii="Calibri" w:cs="Calibri" w:eastAsia="Calibri" w:hAnsi="Calibri"/>
          <w:sz w:val="22"/>
          <w:szCs w:val="22"/>
        </w:rPr>
        <w:t xml:space="preserve">(2–3), 87–105. https://doi.org/10.1016/S1096-7516(00)00016-6</w:t>
      </w:r>
    </w:p>
    <w:p>
      <w:pPr>
        <w:spacing w:after="100" w:line="280"/>
        <w:ind w:left="567" w:hanging="567"/>
        <w:jc w:val="left"/>
      </w:pPr>
      <w:r>
        <w:rPr>
          <w:rFonts w:ascii="Calibri" w:cs="Calibri" w:eastAsia="Calibri" w:hAnsi="Calibri"/>
          <w:sz w:val="22"/>
          <w:szCs w:val="22"/>
        </w:rPr>
        <w:t xml:space="preserve">Kementerian Pendidikan, Kebudayaan, Riset, dan Teknologi. (2023). </w:t>
      </w:r>
      <w:r>
        <w:rPr>
          <w:rFonts w:ascii="Calibri" w:cs="Calibri" w:eastAsia="Calibri" w:hAnsi="Calibri"/>
          <w:i/>
          <w:iCs/>
          <w:sz w:val="22"/>
          <w:szCs w:val="22"/>
        </w:rPr>
        <w:t xml:space="preserve">Peraturan Menteri Pendidikan, Kebudayaan, Riset, dan Teknologi Nomor 53 Tahun 2023 tentang Penjaminan Mutu Pendidikan Tinggi.</w:t>
      </w:r>
    </w:p>
    <w:p>
      <w:pPr>
        <w:spacing w:after="100" w:line="280"/>
        <w:ind w:left="567" w:hanging="567"/>
        <w:jc w:val="left"/>
      </w:pPr>
      <w:r>
        <w:rPr>
          <w:rFonts w:ascii="Calibri" w:cs="Calibri" w:eastAsia="Calibri" w:hAnsi="Calibri"/>
          <w:sz w:val="22"/>
          <w:szCs w:val="22"/>
        </w:rPr>
        <w:t xml:space="preserve">Mayer, R. E. (2009). </w:t>
      </w:r>
      <w:r>
        <w:rPr>
          <w:rFonts w:ascii="Calibri" w:cs="Calibri" w:eastAsia="Calibri" w:hAnsi="Calibri"/>
          <w:i/>
          <w:iCs/>
          <w:sz w:val="22"/>
          <w:szCs w:val="22"/>
        </w:rPr>
        <w:t xml:space="preserve">Multimedia learning</w:t>
      </w:r>
      <w:r>
        <w:rPr>
          <w:rFonts w:ascii="Calibri" w:cs="Calibri" w:eastAsia="Calibri" w:hAnsi="Calibri"/>
          <w:sz w:val="22"/>
          <w:szCs w:val="22"/>
        </w:rPr>
        <w:t xml:space="preserve"> (2nd ed.). Cambridge University Press.</w:t>
      </w:r>
    </w:p>
    <w:p>
      <w:pPr>
        <w:spacing w:after="100" w:line="280"/>
        <w:ind w:left="567" w:hanging="567"/>
        <w:jc w:val="left"/>
      </w:pPr>
      <w:r>
        <w:rPr>
          <w:rFonts w:ascii="Calibri" w:cs="Calibri" w:eastAsia="Calibri" w:hAnsi="Calibri"/>
          <w:sz w:val="22"/>
          <w:szCs w:val="22"/>
        </w:rPr>
        <w:t xml:space="preserve">Republik Indonesia. (2022). </w:t>
      </w:r>
      <w:r>
        <w:rPr>
          <w:rFonts w:ascii="Calibri" w:cs="Calibri" w:eastAsia="Calibri" w:hAnsi="Calibri"/>
          <w:i/>
          <w:iCs/>
          <w:sz w:val="22"/>
          <w:szCs w:val="22"/>
        </w:rPr>
        <w:t xml:space="preserve">Undang-Undang Nomor 27 Tahun 2022 tentang Pelindungan Data Pribadi.</w:t>
      </w:r>
    </w:p>
    <w:p>
      <w:pPr>
        <w:spacing w:after="100" w:line="280"/>
        <w:ind w:left="567" w:hanging="567"/>
        <w:jc w:val="left"/>
      </w:pPr>
      <w:r>
        <w:rPr>
          <w:rFonts w:ascii="Calibri" w:cs="Calibri" w:eastAsia="Calibri" w:hAnsi="Calibri"/>
          <w:sz w:val="22"/>
          <w:szCs w:val="22"/>
        </w:rPr>
        <w:t xml:space="preserve">STEI Fithrah Insani. (2026). </w:t>
      </w:r>
      <w:r>
        <w:rPr>
          <w:rFonts w:ascii="Calibri" w:cs="Calibri" w:eastAsia="Calibri" w:hAnsi="Calibri"/>
          <w:i/>
          <w:iCs/>
          <w:sz w:val="22"/>
          <w:szCs w:val="22"/>
        </w:rPr>
        <w:t xml:space="preserve">Survei kebutuhan LMS STEI FI</w:t>
      </w:r>
      <w:r>
        <w:rPr>
          <w:rFonts w:ascii="Calibri" w:cs="Calibri" w:eastAsia="Calibri" w:hAnsi="Calibri"/>
          <w:sz w:val="22"/>
          <w:szCs w:val="22"/>
        </w:rPr>
        <w:t xml:space="preserve"> (n = 7) [Data primer internal, 13 Oktober 2026].</w:t>
      </w:r>
    </w:p>
    <w:p>
      <w:pPr>
        <w:spacing w:after="100" w:line="280"/>
        <w:ind w:left="567" w:hanging="567"/>
        <w:jc w:val="left"/>
      </w:pPr>
      <w:r>
        <w:rPr>
          <w:rFonts w:ascii="Calibri" w:cs="Calibri" w:eastAsia="Calibri" w:hAnsi="Calibri"/>
          <w:sz w:val="22"/>
          <w:szCs w:val="22"/>
        </w:rPr>
        <w:t xml:space="preserve">STEI Fithrah Insani. (2026). </w:t>
      </w:r>
      <w:r>
        <w:rPr>
          <w:rFonts w:ascii="Calibri" w:cs="Calibri" w:eastAsia="Calibri" w:hAnsi="Calibri"/>
          <w:i/>
          <w:iCs/>
          <w:sz w:val="22"/>
          <w:szCs w:val="22"/>
        </w:rPr>
        <w:t xml:space="preserve">Repositori dokumen internal Kampus-STEI-FI</w:t>
      </w:r>
      <w:r>
        <w:rPr>
          <w:rFonts w:ascii="Calibri" w:cs="Calibri" w:eastAsia="Calibri" w:hAnsi="Calibri"/>
          <w:sz w:val="22"/>
          <w:szCs w:val="22"/>
        </w:rPr>
        <w:t xml:space="preserve"> [Dokumen internal].</w:t>
      </w:r>
    </w:p>
    <w:p>
      <w:pPr>
        <w:spacing w:after="120" w:line="300"/>
        <w:jc w:val="left"/>
      </w:pPr>
      <w:r>
        <w:rPr>
          <w:rFonts w:ascii="Calibri" w:cs="Calibri" w:eastAsia="Calibri" w:hAnsi="Calibri"/>
          <w:i/>
          <w:iCs/>
          <w:color w:val="6B7280"/>
          <w:sz w:val="19"/>
          <w:szCs w:val="19"/>
        </w:rPr>
        <w:t xml:space="preserve">Catatan: rujukan jurnal dan peraturan di atas belum diverifikasi ke sumber aslinya dan perlu dicek sebelum dokumen ini dipakai secara resmi.</w:t>
      </w:r>
    </w:p>
    <w:sectPr>
      <w:headerReference w:type="default" r:id="rId6"/>
      <w:footerReference w:type="default" r:id="rId7"/>
      <w:pgSz w:w="11906" w:h="16838" w:orient="portrait"/>
      <w:pgMar w:top="1304" w:right="1247" w:bottom="1247"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7"/>
        <w:szCs w:val="17"/>
      </w:rPr>
      <w:t xml:space="preserve">Halaman </w:t>
    </w:r>
    <w:r>
      <w:rPr>
        <w:rFonts w:ascii="Calibri" w:cs="Calibri" w:eastAsia="Calibri" w:hAnsi="Calibri"/>
        <w:color w:val="6B7280"/>
        <w:sz w:val="17"/>
        <w:szCs w:val="17"/>
      </w:rPr>
      <w:fldChar w:fldCharType="begin"/>
      <w:instrText xml:space="preserve">PAGE</w:instrText>
      <w:fldChar w:fldCharType="separate"/>
      <w:fldChar w:fldCharType="end"/>
    </w:r>
    <w:r>
      <w:rPr>
        <w:rFonts w:ascii="Calibri" w:cs="Calibri" w:eastAsia="Calibri" w:hAnsi="Calibri"/>
        <w:color w:val="6B7280"/>
        <w:sz w:val="17"/>
        <w:szCs w:val="17"/>
      </w:rPr>
      <w:t xml:space="preserve"> dari </w:t>
    </w:r>
    <w:r>
      <w:rPr>
        <w:rFonts w:ascii="Calibri" w:cs="Calibri" w:eastAsia="Calibri" w:hAnsi="Calibri"/>
        <w:color w:val="6B7280"/>
        <w:sz w:val="17"/>
        <w:szCs w:val="17"/>
      </w:rPr>
      <w:fldChar w:fldCharType="begin"/>
      <w:instrText xml:space="preserve">NUMPAGES</w:instrText>
      <w:fldChar w:fldCharType="separate"/>
      <w:fldChar w:fldCharType="end"/>
    </w:r>
    <w:r>
      <w:rPr>
        <w:rFonts w:ascii="Calibri" w:cs="Calibri" w:eastAsia="Calibri" w:hAnsi="Calibri"/>
        <w:color w:val="6B7280"/>
        <w:sz w:val="17"/>
        <w:szCs w:val="17"/>
      </w:rPr>
      <w:t xml:space="preserve">  ·  Dokumen internal, draf untuk pembahasan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jc w:val="left"/>
    </w:pPr>
    <w:r>
      <w:rPr>
        <w:rFonts w:ascii="Calibri" w:cs="Calibri" w:eastAsia="Calibri" w:hAnsi="Calibri"/>
        <w:color w:val="6B7280"/>
        <w:sz w:val="17"/>
        <w:szCs w:val="17"/>
      </w:rPr>
      <w:t xml:space="preserve">STEI Fithrah Insani — Konsep LMS (Versi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lvl w:ilvl="1" w:tentative="1">
      <w:start w:val="1"/>
      <w:numFmt w:val="bullet"/>
      <w:lvlText w:val="–"/>
      <w:lvlJc w:val="left"/>
      <w:pPr>
        <w:ind w:left="1134" w:hanging="283"/>
      </w:pPr>
    </w:lvl>
  </w:abstractNum>
  <w:abstractNum w:abstractNumId="3" w15:restartNumberingAfterBreak="0">
    <w:multiLevelType w:val="hybridMultilevel"/>
    <w:lvl w:ilvl="0" w:tentative="1">
      <w:start w:val="1"/>
      <w:numFmt w:val="decimal"/>
      <w:lvlText w:val="%1."/>
      <w:lvlJc w:val="left"/>
      <w:pPr>
        <w:ind w:left="567"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Konsep LMS STEI Fithrah Insani (Versi 2)</dc:title>
  <dc:creator>STEI Fithrah Insani</dc:creator>
  <cp:lastModifiedBy>Un-named</cp:lastModifiedBy>
  <cp:revision>1</cp:revision>
  <dcterms:created xsi:type="dcterms:W3CDTF">2026-10-13T06:54:39.917Z</dcterms:created>
  <dcterms:modified xsi:type="dcterms:W3CDTF">2026-10-13T06:54:39.917Z</dcterms:modified>
</cp:coreProperties>
</file>

<file path=docProps/custom.xml><?xml version="1.0" encoding="utf-8"?>
<Properties xmlns="http://schemas.openxmlformats.org/officeDocument/2006/custom-properties" xmlns:vt="http://schemas.openxmlformats.org/officeDocument/2006/docPropsVTypes"/>
</file>