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80" w:before="0"/>
        <w:jc w:val="center"/>
      </w:pPr>
      <w:r>
        <w:rPr>
          <w:rFonts w:ascii="Times New Roman" w:cs="Times New Roman" w:eastAsia="Times New Roman" w:hAnsi="Times New Roman"/>
          <w:b/>
          <w:bCs/>
          <w:color w:val="1A237E"/>
          <w:sz w:val="36"/>
          <w:szCs w:val="36"/>
        </w:rPr>
        <w:t xml:space="preserve">RENCANA PEMBELAJARAN SEMESTER (RPS)</w:t>
      </w:r>
    </w:p>
    <w:p>
      <w:pPr>
        <w:pBdr>
          <w:bottom w:val="thick" w:color="2E7D32" w:sz="12" w:space="4"/>
        </w:pBdr>
        <w:spacing w:after="80" w:before="0"/>
        <w:jc w:val="center"/>
      </w:pPr>
      <w:r>
        <w:rPr>
          <w:sz w:val="28"/>
          <w:szCs w:val="28"/>
        </w:rPr>
        <w:t xml:space="preserve"/>
      </w:r>
    </w:p>
    <w:p>
      <w:pPr>
        <w:spacing w:after="160" w:before="0"/>
      </w:pPr>
      <w:r>
        <w:t xml:space="preserve"/>
      </w:r>
    </w:p>
    <w:p>
      <w:pPr>
        <w:spacing w:after="40" w:before="60"/>
        <w:jc w:val="center"/>
      </w:pPr>
      <w:r>
        <w:rPr>
          <w:rFonts w:ascii="Times New Roman" w:cs="Times New Roman" w:eastAsia="Times New Roman" w:hAnsi="Times New Roman"/>
          <w:b/>
          <w:bCs/>
          <w:color w:val="1A237E"/>
          <w:sz w:val="40"/>
          <w:szCs w:val="40"/>
        </w:rPr>
        <w:t xml:space="preserve">PRAKTIK KERJA LAPANGAN (PKL)</w:t>
      </w:r>
    </w:p>
    <w:p>
      <w:pPr>
        <w:spacing w:after="60" w:before="0"/>
        <w:jc w:val="center"/>
      </w:pPr>
      <w:r>
        <w:rPr>
          <w:rFonts w:ascii="Times New Roman" w:cs="Times New Roman" w:eastAsia="Times New Roman" w:hAnsi="Times New Roman"/>
          <w:color w:val="283593"/>
          <w:sz w:val="24"/>
          <w:szCs w:val="24"/>
        </w:rPr>
        <w:t xml:space="preserve">(Internship / Magang di Lembaga Keuangan Syariah dan Bisnis Halal)</w:t>
      </w:r>
    </w:p>
    <w:p>
      <w:pPr>
        <w:spacing w:after="240" w:before="40"/>
        <w:jc w:val="center"/>
      </w:pPr>
      <w:r>
        <w:rPr>
          <w:rFonts w:ascii="Times New Roman" w:cs="Times New Roman" w:eastAsia="Times New Roman" w:hAnsi="Times New Roman"/>
          <w:b/>
          <w:bCs/>
          <w:color w:val="2E7D32"/>
          <w:sz w:val="24"/>
          <w:szCs w:val="24"/>
        </w:rPr>
        <w:t xml:space="preserve">Kode MK: MKU11102 / MKU12102  |  2 SKS  |  Semester VI</w:t>
      </w:r>
    </w:p>
    <w:p>
      <w:pPr>
        <w:spacing w:after="300" w:before="0"/>
      </w:pPr>
      <w: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tblGrid>
      <w:tr>
        <w:tc>
          <w:tcPr>
            <w:tcW w:type="dxa" w:w="2800"/>
            <w:tcBorders>
              <w:top w:val="none"/>
              <w:left w:val="none"/>
              <w:bottom w:val="none"/>
              <w:right w:val="none"/>
            </w:tcBorders>
            <w:tcMar>
              <w:top w:type="dxa" w:w="60"/>
              <w:left w:type="dxa" w:w="0"/>
              <w:bottom w:type="dxa" w:w="60"/>
              <w:right w:type="dxa" w:w="120"/>
            </w:tcMar>
          </w:tcPr>
          <w:p>
            <w:pPr>
              <w:jc w:val="right"/>
            </w:pPr>
            <w:r>
              <w:rPr>
                <w:rFonts w:ascii="Times New Roman" w:cs="Times New Roman" w:eastAsia="Times New Roman" w:hAnsi="Times New Roman"/>
                <w:b/>
                <w:bCs/>
                <w:color w:val="1A237E"/>
                <w:sz w:val="22"/>
                <w:szCs w:val="22"/>
              </w:rPr>
              <w:t xml:space="preserve">Program Studi</w:t>
            </w:r>
          </w:p>
        </w:tc>
        <w:tc>
          <w:tcPr>
            <w:tcW w:type="dxa" w:w="480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color w:val="000000"/>
                <w:sz w:val="22"/>
                <w:szCs w:val="22"/>
              </w:rPr>
              <w:t xml:space="preserve">: Ekonomi Syariah &amp; Perbankan Syariah</w:t>
            </w:r>
          </w:p>
        </w:tc>
      </w:tr>
      <w:tr>
        <w:tc>
          <w:tcPr>
            <w:tcW w:type="dxa" w:w="2800"/>
            <w:tcBorders>
              <w:top w:val="none"/>
              <w:left w:val="none"/>
              <w:bottom w:val="none"/>
              <w:right w:val="none"/>
            </w:tcBorders>
            <w:tcMar>
              <w:top w:type="dxa" w:w="60"/>
              <w:left w:type="dxa" w:w="0"/>
              <w:bottom w:type="dxa" w:w="60"/>
              <w:right w:type="dxa" w:w="120"/>
            </w:tcMar>
          </w:tcPr>
          <w:p>
            <w:pPr>
              <w:jc w:val="right"/>
            </w:pPr>
            <w:r>
              <w:rPr>
                <w:rFonts w:ascii="Times New Roman" w:cs="Times New Roman" w:eastAsia="Times New Roman" w:hAnsi="Times New Roman"/>
                <w:b/>
                <w:bCs/>
                <w:color w:val="1A237E"/>
                <w:sz w:val="22"/>
                <w:szCs w:val="22"/>
              </w:rPr>
              <w:t xml:space="preserve">Koordinator</w:t>
            </w:r>
          </w:p>
        </w:tc>
        <w:tc>
          <w:tcPr>
            <w:tcW w:type="dxa" w:w="480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color w:val="000000"/>
                <w:sz w:val="22"/>
                <w:szCs w:val="22"/>
              </w:rPr>
              <w:t xml:space="preserve">: Program Studi / Wakil Ketua I</w:t>
            </w:r>
          </w:p>
        </w:tc>
      </w:tr>
      <w:tr>
        <w:tc>
          <w:tcPr>
            <w:tcW w:type="dxa" w:w="2800"/>
            <w:tcBorders>
              <w:top w:val="none"/>
              <w:left w:val="none"/>
              <w:bottom w:val="none"/>
              <w:right w:val="none"/>
            </w:tcBorders>
            <w:tcMar>
              <w:top w:type="dxa" w:w="60"/>
              <w:left w:type="dxa" w:w="0"/>
              <w:bottom w:type="dxa" w:w="60"/>
              <w:right w:type="dxa" w:w="120"/>
            </w:tcMar>
          </w:tcPr>
          <w:p>
            <w:pPr>
              <w:jc w:val="right"/>
            </w:pPr>
            <w:r>
              <w:rPr>
                <w:rFonts w:ascii="Times New Roman" w:cs="Times New Roman" w:eastAsia="Times New Roman" w:hAnsi="Times New Roman"/>
                <w:b/>
                <w:bCs/>
                <w:color w:val="1A237E"/>
                <w:sz w:val="22"/>
                <w:szCs w:val="22"/>
              </w:rPr>
              <w:t xml:space="preserve">Jadwal Pelaksanaan</w:t>
            </w:r>
          </w:p>
        </w:tc>
        <w:tc>
          <w:tcPr>
            <w:tcW w:type="dxa" w:w="480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color w:val="000000"/>
                <w:sz w:val="22"/>
                <w:szCs w:val="22"/>
              </w:rPr>
              <w:t xml:space="preserve">: Juni - Juli 2026 (6-8 minggu)</w:t>
            </w:r>
          </w:p>
        </w:tc>
      </w:tr>
      <w:tr>
        <w:tc>
          <w:tcPr>
            <w:tcW w:type="dxa" w:w="2800"/>
            <w:tcBorders>
              <w:top w:val="none"/>
              <w:left w:val="none"/>
              <w:bottom w:val="none"/>
              <w:right w:val="none"/>
            </w:tcBorders>
            <w:tcMar>
              <w:top w:type="dxa" w:w="60"/>
              <w:left w:type="dxa" w:w="0"/>
              <w:bottom w:type="dxa" w:w="60"/>
              <w:right w:type="dxa" w:w="120"/>
            </w:tcMar>
          </w:tcPr>
          <w:p>
            <w:pPr>
              <w:jc w:val="right"/>
            </w:pPr>
            <w:r>
              <w:rPr>
                <w:rFonts w:ascii="Times New Roman" w:cs="Times New Roman" w:eastAsia="Times New Roman" w:hAnsi="Times New Roman"/>
                <w:b/>
                <w:bCs/>
                <w:color w:val="1A237E"/>
                <w:sz w:val="22"/>
                <w:szCs w:val="22"/>
              </w:rPr>
              <w:t xml:space="preserve">Tahun Akademik</w:t>
            </w:r>
          </w:p>
        </w:tc>
        <w:tc>
          <w:tcPr>
            <w:tcW w:type="dxa" w:w="480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color w:val="000000"/>
                <w:sz w:val="22"/>
                <w:szCs w:val="22"/>
              </w:rPr>
              <w:t xml:space="preserve">: 2025/2026 (Semester Genap)</w:t>
            </w:r>
          </w:p>
        </w:tc>
      </w:tr>
    </w:tbl>
    <w:p>
      <w:pPr>
        <w:spacing w:after="600" w:before="0"/>
      </w:pPr>
      <w:r>
        <w:t xml:space="preserve"/>
      </w:r>
    </w:p>
    <w:p>
      <w:pPr>
        <w:spacing w:after="40" w:before="100"/>
        <w:jc w:val="center"/>
      </w:pPr>
      <w:r>
        <w:rPr>
          <w:rFonts w:ascii="Times New Roman" w:cs="Times New Roman" w:eastAsia="Times New Roman" w:hAnsi="Times New Roman"/>
          <w:b/>
          <w:bCs/>
          <w:color w:val="1A237E"/>
          <w:sz w:val="28"/>
          <w:szCs w:val="28"/>
        </w:rPr>
        <w:t xml:space="preserve">SEKOLAH TINGGI EKONOMI ISLAM (STEI)</w:t>
      </w:r>
    </w:p>
    <w:p>
      <w:pPr>
        <w:spacing w:after="40" w:before="0"/>
        <w:jc w:val="center"/>
      </w:pPr>
      <w:r>
        <w:rPr>
          <w:rFonts w:ascii="Times New Roman" w:cs="Times New Roman" w:eastAsia="Times New Roman" w:hAnsi="Times New Roman"/>
          <w:b/>
          <w:bCs/>
          <w:color w:val="1A237E"/>
          <w:sz w:val="34"/>
          <w:szCs w:val="34"/>
        </w:rPr>
        <w:t xml:space="preserve">FITRAH INSANI</w:t>
      </w:r>
    </w:p>
    <w:p>
      <w:pPr>
        <w:spacing w:after="40" w:before="0"/>
        <w:jc w:val="center"/>
      </w:pPr>
      <w:r>
        <w:rPr>
          <w:rFonts w:ascii="Times New Roman" w:cs="Times New Roman" w:eastAsia="Times New Roman" w:hAnsi="Times New Roman"/>
          <w:color w:val="555555"/>
          <w:sz w:val="20"/>
          <w:szCs w:val="20"/>
        </w:rPr>
        <w:t xml:space="preserve">Jl. Raya Gadobangkong No. 91, Kab. Bandung Barat, Jawa Barat</w:t>
      </w:r>
    </w:p>
    <w:p>
      <w:pPr>
        <w:spacing w:after="40" w:before="0"/>
        <w:jc w:val="center"/>
      </w:pPr>
      <w:r>
        <w:rPr>
          <w:rFonts w:ascii="Times New Roman" w:cs="Times New Roman" w:eastAsia="Times New Roman" w:hAnsi="Times New Roman"/>
          <w:b/>
          <w:bCs/>
          <w:color w:val="2E7D32"/>
          <w:sz w:val="22"/>
          <w:szCs w:val="22"/>
        </w:rPr>
        <w:t xml:space="preserve">Tahun 2026</w:t>
      </w:r>
    </w:p>
    <w:p>
      <w:r>
        <w:br w:type="page"/>
      </w:r>
    </w:p>
    <w:p>
      <w:pPr>
        <w:pBdr>
          <w:bottom w:val="single" w:color="1A237E" w:sz="8" w:space="4"/>
        </w:pBdr>
        <w:spacing w:after="120" w:before="300"/>
      </w:pPr>
      <w:r>
        <w:rPr>
          <w:rFonts w:ascii="Times New Roman" w:cs="Times New Roman" w:eastAsia="Times New Roman" w:hAnsi="Times New Roman"/>
          <w:b/>
          <w:bCs/>
          <w:caps/>
          <w:color w:val="1A237E"/>
          <w:sz w:val="28"/>
          <w:szCs w:val="28"/>
        </w:rPr>
        <w:t xml:space="preserve">A. IDENTITAS MATA KULIAH</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
        <w:gridCol w:w="6200"/>
      </w:tblGrid>
      <w:tr>
        <w:tc>
          <w:tcPr>
            <w:tcW w:type="dxa" w:w="2800"/>
            <w:tcBorders>
              <w:top w:val="single" w:color="AAAAAA" w:sz="6"/>
              <w:left w:val="single" w:color="AAAAAA" w:sz="6"/>
              <w:bottom w:val="single" w:color="AAAAAA" w:sz="6"/>
              <w:right w:val="single" w:color="AAAAAA" w:sz="6"/>
            </w:tcBorders>
            <w:shd w:fill="E8EAF6" w:val="clear"/>
            <w:tcMar>
              <w:top w:type="dxa" w:w="80"/>
              <w:left w:type="dxa" w:w="120"/>
              <w:bottom w:type="dxa" w:w="80"/>
              <w:right w:type="dxa" w:w="80"/>
            </w:tcMar>
          </w:tcPr>
          <w:p>
            <w:r>
              <w:rPr>
                <w:rFonts w:ascii="Times New Roman" w:cs="Times New Roman" w:eastAsia="Times New Roman" w:hAnsi="Times New Roman"/>
                <w:b/>
                <w:bCs/>
                <w:color w:val="1A237E"/>
                <w:sz w:val="22"/>
                <w:szCs w:val="22"/>
              </w:rPr>
              <w:t xml:space="preserve">Nama Perguruan Tinggi</w:t>
            </w:r>
          </w:p>
        </w:tc>
        <w:tc>
          <w:tcPr>
            <w:tcW w:type="dxa" w:w="200"/>
            <w:tcBorders>
              <w:top w:val="single" w:color="AAAAAA" w:sz="6"/>
              <w:left w:val="single" w:color="AAAAAA" w:sz="6"/>
              <w:bottom w:val="single" w:color="AAAAAA" w:sz="6"/>
              <w:right w:val="single" w:color="AAAAAA" w:sz="6"/>
            </w:tcBorders>
            <w:shd w:fill="E8EAF6" w:val="clear"/>
            <w:tcMar>
              <w:top w:type="dxa" w:w="80"/>
              <w:left w:type="dxa" w:w="40"/>
              <w:bottom w:type="dxa" w:w="80"/>
              <w:right w:type="dxa" w:w="40"/>
            </w:tcMar>
          </w:tcPr>
          <w:p>
            <w:pPr>
              <w:jc w:val="center"/>
            </w:pPr>
            <w:r>
              <w:rPr>
                <w:rFonts w:ascii="Times New Roman" w:cs="Times New Roman" w:eastAsia="Times New Roman" w:hAnsi="Times New Roman"/>
                <w:b/>
                <w:bCs/>
                <w:color w:val="1A237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STEI Fitrah Insani</w:t>
            </w:r>
          </w:p>
        </w:tc>
      </w:tr>
      <w:tr>
        <w:tc>
          <w:tcPr>
            <w:tcW w:type="dxa" w:w="2800"/>
            <w:tcBorders>
              <w:top w:val="single" w:color="AAAAAA" w:sz="6"/>
              <w:left w:val="single" w:color="AAAAAA" w:sz="6"/>
              <w:bottom w:val="single" w:color="AAAAAA" w:sz="6"/>
              <w:right w:val="single" w:color="AAAAAA" w:sz="6"/>
            </w:tcBorders>
            <w:shd w:fill="E8EAF6" w:val="clear"/>
            <w:tcMar>
              <w:top w:type="dxa" w:w="80"/>
              <w:left w:type="dxa" w:w="120"/>
              <w:bottom w:type="dxa" w:w="80"/>
              <w:right w:type="dxa" w:w="80"/>
            </w:tcMar>
          </w:tcPr>
          <w:p>
            <w:r>
              <w:rPr>
                <w:rFonts w:ascii="Times New Roman" w:cs="Times New Roman" w:eastAsia="Times New Roman" w:hAnsi="Times New Roman"/>
                <w:b/>
                <w:bCs/>
                <w:color w:val="1A237E"/>
                <w:sz w:val="22"/>
                <w:szCs w:val="22"/>
              </w:rPr>
              <w:t xml:space="preserve">Program Studi</w:t>
            </w:r>
          </w:p>
        </w:tc>
        <w:tc>
          <w:tcPr>
            <w:tcW w:type="dxa" w:w="200"/>
            <w:tcBorders>
              <w:top w:val="single" w:color="AAAAAA" w:sz="6"/>
              <w:left w:val="single" w:color="AAAAAA" w:sz="6"/>
              <w:bottom w:val="single" w:color="AAAAAA" w:sz="6"/>
              <w:right w:val="single" w:color="AAAAAA" w:sz="6"/>
            </w:tcBorders>
            <w:shd w:fill="E8EAF6" w:val="clear"/>
            <w:tcMar>
              <w:top w:type="dxa" w:w="80"/>
              <w:left w:type="dxa" w:w="40"/>
              <w:bottom w:type="dxa" w:w="80"/>
              <w:right w:type="dxa" w:w="40"/>
            </w:tcMar>
          </w:tcPr>
          <w:p>
            <w:pPr>
              <w:jc w:val="center"/>
            </w:pPr>
            <w:r>
              <w:rPr>
                <w:rFonts w:ascii="Times New Roman" w:cs="Times New Roman" w:eastAsia="Times New Roman" w:hAnsi="Times New Roman"/>
                <w:b/>
                <w:bCs/>
                <w:color w:val="1A237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Ekonomi Syariah / Perbankan Syariah</w:t>
            </w:r>
          </w:p>
        </w:tc>
      </w:tr>
      <w:tr>
        <w:tc>
          <w:tcPr>
            <w:tcW w:type="dxa" w:w="2800"/>
            <w:tcBorders>
              <w:top w:val="single" w:color="AAAAAA" w:sz="6"/>
              <w:left w:val="single" w:color="AAAAAA" w:sz="6"/>
              <w:bottom w:val="single" w:color="AAAAAA" w:sz="6"/>
              <w:right w:val="single" w:color="AAAAAA" w:sz="6"/>
            </w:tcBorders>
            <w:shd w:fill="E8EAF6" w:val="clear"/>
            <w:tcMar>
              <w:top w:type="dxa" w:w="80"/>
              <w:left w:type="dxa" w:w="120"/>
              <w:bottom w:type="dxa" w:w="80"/>
              <w:right w:type="dxa" w:w="80"/>
            </w:tcMar>
          </w:tcPr>
          <w:p>
            <w:r>
              <w:rPr>
                <w:rFonts w:ascii="Times New Roman" w:cs="Times New Roman" w:eastAsia="Times New Roman" w:hAnsi="Times New Roman"/>
                <w:b/>
                <w:bCs/>
                <w:color w:val="1A237E"/>
                <w:sz w:val="22"/>
                <w:szCs w:val="22"/>
              </w:rPr>
              <w:t xml:space="preserve">Nama Mata Kuliah</w:t>
            </w:r>
          </w:p>
        </w:tc>
        <w:tc>
          <w:tcPr>
            <w:tcW w:type="dxa" w:w="200"/>
            <w:tcBorders>
              <w:top w:val="single" w:color="AAAAAA" w:sz="6"/>
              <w:left w:val="single" w:color="AAAAAA" w:sz="6"/>
              <w:bottom w:val="single" w:color="AAAAAA" w:sz="6"/>
              <w:right w:val="single" w:color="AAAAAA" w:sz="6"/>
            </w:tcBorders>
            <w:shd w:fill="E8EAF6" w:val="clear"/>
            <w:tcMar>
              <w:top w:type="dxa" w:w="80"/>
              <w:left w:type="dxa" w:w="40"/>
              <w:bottom w:type="dxa" w:w="80"/>
              <w:right w:type="dxa" w:w="40"/>
            </w:tcMar>
          </w:tcPr>
          <w:p>
            <w:pPr>
              <w:jc w:val="center"/>
            </w:pPr>
            <w:r>
              <w:rPr>
                <w:rFonts w:ascii="Times New Roman" w:cs="Times New Roman" w:eastAsia="Times New Roman" w:hAnsi="Times New Roman"/>
                <w:b/>
                <w:bCs/>
                <w:color w:val="1A237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Praktik Kerja Lapangan (PKL) / Magang</w:t>
            </w:r>
          </w:p>
        </w:tc>
      </w:tr>
      <w:tr>
        <w:tc>
          <w:tcPr>
            <w:tcW w:type="dxa" w:w="2800"/>
            <w:tcBorders>
              <w:top w:val="single" w:color="AAAAAA" w:sz="6"/>
              <w:left w:val="single" w:color="AAAAAA" w:sz="6"/>
              <w:bottom w:val="single" w:color="AAAAAA" w:sz="6"/>
              <w:right w:val="single" w:color="AAAAAA" w:sz="6"/>
            </w:tcBorders>
            <w:shd w:fill="E8EAF6" w:val="clear"/>
            <w:tcMar>
              <w:top w:type="dxa" w:w="80"/>
              <w:left w:type="dxa" w:w="120"/>
              <w:bottom w:type="dxa" w:w="80"/>
              <w:right w:type="dxa" w:w="80"/>
            </w:tcMar>
          </w:tcPr>
          <w:p>
            <w:r>
              <w:rPr>
                <w:rFonts w:ascii="Times New Roman" w:cs="Times New Roman" w:eastAsia="Times New Roman" w:hAnsi="Times New Roman"/>
                <w:b/>
                <w:bCs/>
                <w:color w:val="1A237E"/>
                <w:sz w:val="22"/>
                <w:szCs w:val="22"/>
              </w:rPr>
              <w:t xml:space="preserve">Kode Mata Kuliah</w:t>
            </w:r>
          </w:p>
        </w:tc>
        <w:tc>
          <w:tcPr>
            <w:tcW w:type="dxa" w:w="200"/>
            <w:tcBorders>
              <w:top w:val="single" w:color="AAAAAA" w:sz="6"/>
              <w:left w:val="single" w:color="AAAAAA" w:sz="6"/>
              <w:bottom w:val="single" w:color="AAAAAA" w:sz="6"/>
              <w:right w:val="single" w:color="AAAAAA" w:sz="6"/>
            </w:tcBorders>
            <w:shd w:fill="E8EAF6" w:val="clear"/>
            <w:tcMar>
              <w:top w:type="dxa" w:w="80"/>
              <w:left w:type="dxa" w:w="40"/>
              <w:bottom w:type="dxa" w:w="80"/>
              <w:right w:type="dxa" w:w="40"/>
            </w:tcMar>
          </w:tcPr>
          <w:p>
            <w:pPr>
              <w:jc w:val="center"/>
            </w:pPr>
            <w:r>
              <w:rPr>
                <w:rFonts w:ascii="Times New Roman" w:cs="Times New Roman" w:eastAsia="Times New Roman" w:hAnsi="Times New Roman"/>
                <w:b/>
                <w:bCs/>
                <w:color w:val="1A237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MKU11102 (ES) / MKU12102 (PS)</w:t>
            </w:r>
          </w:p>
        </w:tc>
      </w:tr>
      <w:tr>
        <w:tc>
          <w:tcPr>
            <w:tcW w:type="dxa" w:w="2800"/>
            <w:tcBorders>
              <w:top w:val="single" w:color="AAAAAA" w:sz="6"/>
              <w:left w:val="single" w:color="AAAAAA" w:sz="6"/>
              <w:bottom w:val="single" w:color="AAAAAA" w:sz="6"/>
              <w:right w:val="single" w:color="AAAAAA" w:sz="6"/>
            </w:tcBorders>
            <w:shd w:fill="E8EAF6" w:val="clear"/>
            <w:tcMar>
              <w:top w:type="dxa" w:w="80"/>
              <w:left w:type="dxa" w:w="120"/>
              <w:bottom w:type="dxa" w:w="80"/>
              <w:right w:type="dxa" w:w="80"/>
            </w:tcMar>
          </w:tcPr>
          <w:p>
            <w:r>
              <w:rPr>
                <w:rFonts w:ascii="Times New Roman" w:cs="Times New Roman" w:eastAsia="Times New Roman" w:hAnsi="Times New Roman"/>
                <w:b/>
                <w:bCs/>
                <w:color w:val="1A237E"/>
                <w:sz w:val="22"/>
                <w:szCs w:val="22"/>
              </w:rPr>
              <w:t xml:space="preserve">Klasifikasi</w:t>
            </w:r>
          </w:p>
        </w:tc>
        <w:tc>
          <w:tcPr>
            <w:tcW w:type="dxa" w:w="200"/>
            <w:tcBorders>
              <w:top w:val="single" w:color="AAAAAA" w:sz="6"/>
              <w:left w:val="single" w:color="AAAAAA" w:sz="6"/>
              <w:bottom w:val="single" w:color="AAAAAA" w:sz="6"/>
              <w:right w:val="single" w:color="AAAAAA" w:sz="6"/>
            </w:tcBorders>
            <w:shd w:fill="E8EAF6" w:val="clear"/>
            <w:tcMar>
              <w:top w:type="dxa" w:w="80"/>
              <w:left w:type="dxa" w:w="40"/>
              <w:bottom w:type="dxa" w:w="80"/>
              <w:right w:type="dxa" w:w="40"/>
            </w:tcMar>
          </w:tcPr>
          <w:p>
            <w:pPr>
              <w:jc w:val="center"/>
            </w:pPr>
            <w:r>
              <w:rPr>
                <w:rFonts w:ascii="Times New Roman" w:cs="Times New Roman" w:eastAsia="Times New Roman" w:hAnsi="Times New Roman"/>
                <w:b/>
                <w:bCs/>
                <w:color w:val="1A237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Mata Kuliah Umum Praktik Lapangan (MKU) - Wajib</w:t>
            </w:r>
          </w:p>
        </w:tc>
      </w:tr>
      <w:tr>
        <w:tc>
          <w:tcPr>
            <w:tcW w:type="dxa" w:w="2800"/>
            <w:tcBorders>
              <w:top w:val="single" w:color="AAAAAA" w:sz="6"/>
              <w:left w:val="single" w:color="AAAAAA" w:sz="6"/>
              <w:bottom w:val="single" w:color="AAAAAA" w:sz="6"/>
              <w:right w:val="single" w:color="AAAAAA" w:sz="6"/>
            </w:tcBorders>
            <w:shd w:fill="E8EAF6" w:val="clear"/>
            <w:tcMar>
              <w:top w:type="dxa" w:w="80"/>
              <w:left w:type="dxa" w:w="120"/>
              <w:bottom w:type="dxa" w:w="80"/>
              <w:right w:type="dxa" w:w="80"/>
            </w:tcMar>
          </w:tcPr>
          <w:p>
            <w:r>
              <w:rPr>
                <w:rFonts w:ascii="Times New Roman" w:cs="Times New Roman" w:eastAsia="Times New Roman" w:hAnsi="Times New Roman"/>
                <w:b/>
                <w:bCs/>
                <w:color w:val="1A237E"/>
                <w:sz w:val="22"/>
                <w:szCs w:val="22"/>
              </w:rPr>
              <w:t xml:space="preserve">Bobot SKS</w:t>
            </w:r>
          </w:p>
        </w:tc>
        <w:tc>
          <w:tcPr>
            <w:tcW w:type="dxa" w:w="200"/>
            <w:tcBorders>
              <w:top w:val="single" w:color="AAAAAA" w:sz="6"/>
              <w:left w:val="single" w:color="AAAAAA" w:sz="6"/>
              <w:bottom w:val="single" w:color="AAAAAA" w:sz="6"/>
              <w:right w:val="single" w:color="AAAAAA" w:sz="6"/>
            </w:tcBorders>
            <w:shd w:fill="E8EAF6" w:val="clear"/>
            <w:tcMar>
              <w:top w:type="dxa" w:w="80"/>
              <w:left w:type="dxa" w:w="40"/>
              <w:bottom w:type="dxa" w:w="80"/>
              <w:right w:type="dxa" w:w="40"/>
            </w:tcMar>
          </w:tcPr>
          <w:p>
            <w:pPr>
              <w:jc w:val="center"/>
            </w:pPr>
            <w:r>
              <w:rPr>
                <w:rFonts w:ascii="Times New Roman" w:cs="Times New Roman" w:eastAsia="Times New Roman" w:hAnsi="Times New Roman"/>
                <w:b/>
                <w:bCs/>
                <w:color w:val="1A237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2 SKS</w:t>
            </w:r>
          </w:p>
        </w:tc>
      </w:tr>
      <w:tr>
        <w:tc>
          <w:tcPr>
            <w:tcW w:type="dxa" w:w="2800"/>
            <w:tcBorders>
              <w:top w:val="single" w:color="AAAAAA" w:sz="6"/>
              <w:left w:val="single" w:color="AAAAAA" w:sz="6"/>
              <w:bottom w:val="single" w:color="AAAAAA" w:sz="6"/>
              <w:right w:val="single" w:color="AAAAAA" w:sz="6"/>
            </w:tcBorders>
            <w:shd w:fill="E8EAF6" w:val="clear"/>
            <w:tcMar>
              <w:top w:type="dxa" w:w="80"/>
              <w:left w:type="dxa" w:w="120"/>
              <w:bottom w:type="dxa" w:w="80"/>
              <w:right w:type="dxa" w:w="80"/>
            </w:tcMar>
          </w:tcPr>
          <w:p>
            <w:r>
              <w:rPr>
                <w:rFonts w:ascii="Times New Roman" w:cs="Times New Roman" w:eastAsia="Times New Roman" w:hAnsi="Times New Roman"/>
                <w:b/>
                <w:bCs/>
                <w:color w:val="1A237E"/>
                <w:sz w:val="22"/>
                <w:szCs w:val="22"/>
              </w:rPr>
              <w:t xml:space="preserve">Semester</w:t>
            </w:r>
          </w:p>
        </w:tc>
        <w:tc>
          <w:tcPr>
            <w:tcW w:type="dxa" w:w="200"/>
            <w:tcBorders>
              <w:top w:val="single" w:color="AAAAAA" w:sz="6"/>
              <w:left w:val="single" w:color="AAAAAA" w:sz="6"/>
              <w:bottom w:val="single" w:color="AAAAAA" w:sz="6"/>
              <w:right w:val="single" w:color="AAAAAA" w:sz="6"/>
            </w:tcBorders>
            <w:shd w:fill="E8EAF6" w:val="clear"/>
            <w:tcMar>
              <w:top w:type="dxa" w:w="80"/>
              <w:left w:type="dxa" w:w="40"/>
              <w:bottom w:type="dxa" w:w="80"/>
              <w:right w:type="dxa" w:w="40"/>
            </w:tcMar>
          </w:tcPr>
          <w:p>
            <w:pPr>
              <w:jc w:val="center"/>
            </w:pPr>
            <w:r>
              <w:rPr>
                <w:rFonts w:ascii="Times New Roman" w:cs="Times New Roman" w:eastAsia="Times New Roman" w:hAnsi="Times New Roman"/>
                <w:b/>
                <w:bCs/>
                <w:color w:val="1A237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VI (Enam) - Semester Genap</w:t>
            </w:r>
          </w:p>
        </w:tc>
      </w:tr>
      <w:tr>
        <w:tc>
          <w:tcPr>
            <w:tcW w:type="dxa" w:w="2800"/>
            <w:tcBorders>
              <w:top w:val="single" w:color="AAAAAA" w:sz="6"/>
              <w:left w:val="single" w:color="AAAAAA" w:sz="6"/>
              <w:bottom w:val="single" w:color="AAAAAA" w:sz="6"/>
              <w:right w:val="single" w:color="AAAAAA" w:sz="6"/>
            </w:tcBorders>
            <w:shd w:fill="E8EAF6" w:val="clear"/>
            <w:tcMar>
              <w:top w:type="dxa" w:w="80"/>
              <w:left w:type="dxa" w:w="120"/>
              <w:bottom w:type="dxa" w:w="80"/>
              <w:right w:type="dxa" w:w="80"/>
            </w:tcMar>
          </w:tcPr>
          <w:p>
            <w:r>
              <w:rPr>
                <w:rFonts w:ascii="Times New Roman" w:cs="Times New Roman" w:eastAsia="Times New Roman" w:hAnsi="Times New Roman"/>
                <w:b/>
                <w:bCs/>
                <w:color w:val="1A237E"/>
                <w:sz w:val="22"/>
                <w:szCs w:val="22"/>
              </w:rPr>
              <w:t xml:space="preserve">Prasyarat</w:t>
            </w:r>
          </w:p>
        </w:tc>
        <w:tc>
          <w:tcPr>
            <w:tcW w:type="dxa" w:w="200"/>
            <w:tcBorders>
              <w:top w:val="single" w:color="AAAAAA" w:sz="6"/>
              <w:left w:val="single" w:color="AAAAAA" w:sz="6"/>
              <w:bottom w:val="single" w:color="AAAAAA" w:sz="6"/>
              <w:right w:val="single" w:color="AAAAAA" w:sz="6"/>
            </w:tcBorders>
            <w:shd w:fill="E8EAF6" w:val="clear"/>
            <w:tcMar>
              <w:top w:type="dxa" w:w="80"/>
              <w:left w:type="dxa" w:w="40"/>
              <w:bottom w:type="dxa" w:w="80"/>
              <w:right w:type="dxa" w:w="40"/>
            </w:tcMar>
          </w:tcPr>
          <w:p>
            <w:pPr>
              <w:jc w:val="center"/>
            </w:pPr>
            <w:r>
              <w:rPr>
                <w:rFonts w:ascii="Times New Roman" w:cs="Times New Roman" w:eastAsia="Times New Roman" w:hAnsi="Times New Roman"/>
                <w:b/>
                <w:bCs/>
                <w:color w:val="1A237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Telah menempuh minimal 100 SKS (Smt I-V); Nilai rata-rata minimal C untuk seluruh MK keahlian</w:t>
            </w:r>
          </w:p>
        </w:tc>
      </w:tr>
      <w:tr>
        <w:tc>
          <w:tcPr>
            <w:tcW w:type="dxa" w:w="2800"/>
            <w:tcBorders>
              <w:top w:val="single" w:color="AAAAAA" w:sz="6"/>
              <w:left w:val="single" w:color="AAAAAA" w:sz="6"/>
              <w:bottom w:val="single" w:color="AAAAAA" w:sz="6"/>
              <w:right w:val="single" w:color="AAAAAA" w:sz="6"/>
            </w:tcBorders>
            <w:shd w:fill="E8EAF6" w:val="clear"/>
            <w:tcMar>
              <w:top w:type="dxa" w:w="80"/>
              <w:left w:type="dxa" w:w="120"/>
              <w:bottom w:type="dxa" w:w="80"/>
              <w:right w:type="dxa" w:w="80"/>
            </w:tcMar>
          </w:tcPr>
          <w:p>
            <w:r>
              <w:rPr>
                <w:rFonts w:ascii="Times New Roman" w:cs="Times New Roman" w:eastAsia="Times New Roman" w:hAnsi="Times New Roman"/>
                <w:b/>
                <w:bCs/>
                <w:color w:val="1A237E"/>
                <w:sz w:val="22"/>
                <w:szCs w:val="22"/>
              </w:rPr>
              <w:t xml:space="preserve">Koordinator</w:t>
            </w:r>
          </w:p>
        </w:tc>
        <w:tc>
          <w:tcPr>
            <w:tcW w:type="dxa" w:w="200"/>
            <w:tcBorders>
              <w:top w:val="single" w:color="AAAAAA" w:sz="6"/>
              <w:left w:val="single" w:color="AAAAAA" w:sz="6"/>
              <w:bottom w:val="single" w:color="AAAAAA" w:sz="6"/>
              <w:right w:val="single" w:color="AAAAAA" w:sz="6"/>
            </w:tcBorders>
            <w:shd w:fill="E8EAF6" w:val="clear"/>
            <w:tcMar>
              <w:top w:type="dxa" w:w="80"/>
              <w:left w:type="dxa" w:w="40"/>
              <w:bottom w:type="dxa" w:w="80"/>
              <w:right w:type="dxa" w:w="40"/>
            </w:tcMar>
          </w:tcPr>
          <w:p>
            <w:pPr>
              <w:jc w:val="center"/>
            </w:pPr>
            <w:r>
              <w:rPr>
                <w:rFonts w:ascii="Times New Roman" w:cs="Times New Roman" w:eastAsia="Times New Roman" w:hAnsi="Times New Roman"/>
                <w:b/>
                <w:bCs/>
                <w:color w:val="1A237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Wakil Ketua I Bidang Akademik (Izzuddin Edi Siswanto, Lc., M.A.) berkoordinasi dengan Program Studi</w:t>
            </w:r>
          </w:p>
        </w:tc>
      </w:tr>
      <w:tr>
        <w:tc>
          <w:tcPr>
            <w:tcW w:type="dxa" w:w="2800"/>
            <w:tcBorders>
              <w:top w:val="single" w:color="AAAAAA" w:sz="6"/>
              <w:left w:val="single" w:color="AAAAAA" w:sz="6"/>
              <w:bottom w:val="single" w:color="AAAAAA" w:sz="6"/>
              <w:right w:val="single" w:color="AAAAAA" w:sz="6"/>
            </w:tcBorders>
            <w:shd w:fill="E8EAF6" w:val="clear"/>
            <w:tcMar>
              <w:top w:type="dxa" w:w="80"/>
              <w:left w:type="dxa" w:w="120"/>
              <w:bottom w:type="dxa" w:w="80"/>
              <w:right w:type="dxa" w:w="80"/>
            </w:tcMar>
          </w:tcPr>
          <w:p>
            <w:r>
              <w:rPr>
                <w:rFonts w:ascii="Times New Roman" w:cs="Times New Roman" w:eastAsia="Times New Roman" w:hAnsi="Times New Roman"/>
                <w:b/>
                <w:bCs/>
                <w:color w:val="1A237E"/>
                <w:sz w:val="22"/>
                <w:szCs w:val="22"/>
              </w:rPr>
              <w:t xml:space="preserve">Waktu Pelaksanaan</w:t>
            </w:r>
          </w:p>
        </w:tc>
        <w:tc>
          <w:tcPr>
            <w:tcW w:type="dxa" w:w="200"/>
            <w:tcBorders>
              <w:top w:val="single" w:color="AAAAAA" w:sz="6"/>
              <w:left w:val="single" w:color="AAAAAA" w:sz="6"/>
              <w:bottom w:val="single" w:color="AAAAAA" w:sz="6"/>
              <w:right w:val="single" w:color="AAAAAA" w:sz="6"/>
            </w:tcBorders>
            <w:shd w:fill="E8EAF6" w:val="clear"/>
            <w:tcMar>
              <w:top w:type="dxa" w:w="80"/>
              <w:left w:type="dxa" w:w="40"/>
              <w:bottom w:type="dxa" w:w="80"/>
              <w:right w:type="dxa" w:w="40"/>
            </w:tcMar>
          </w:tcPr>
          <w:p>
            <w:pPr>
              <w:jc w:val="center"/>
            </w:pPr>
            <w:r>
              <w:rPr>
                <w:rFonts w:ascii="Times New Roman" w:cs="Times New Roman" w:eastAsia="Times New Roman" w:hAnsi="Times New Roman"/>
                <w:b/>
                <w:bCs/>
                <w:color w:val="1A237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Juni - Juli 2026 (minimal 6 minggu / 240 jam kerja efektif)</w:t>
            </w:r>
          </w:p>
        </w:tc>
      </w:tr>
      <w:tr>
        <w:tc>
          <w:tcPr>
            <w:tcW w:type="dxa" w:w="2800"/>
            <w:tcBorders>
              <w:top w:val="single" w:color="AAAAAA" w:sz="6"/>
              <w:left w:val="single" w:color="AAAAAA" w:sz="6"/>
              <w:bottom w:val="single" w:color="AAAAAA" w:sz="6"/>
              <w:right w:val="single" w:color="AAAAAA" w:sz="6"/>
            </w:tcBorders>
            <w:shd w:fill="E8EAF6" w:val="clear"/>
            <w:tcMar>
              <w:top w:type="dxa" w:w="80"/>
              <w:left w:type="dxa" w:w="120"/>
              <w:bottom w:type="dxa" w:w="80"/>
              <w:right w:type="dxa" w:w="80"/>
            </w:tcMar>
          </w:tcPr>
          <w:p>
            <w:r>
              <w:rPr>
                <w:rFonts w:ascii="Times New Roman" w:cs="Times New Roman" w:eastAsia="Times New Roman" w:hAnsi="Times New Roman"/>
                <w:b/>
                <w:bCs/>
                <w:color w:val="1A237E"/>
                <w:sz w:val="22"/>
                <w:szCs w:val="22"/>
              </w:rPr>
              <w:t xml:space="preserve">Tempat PKL</w:t>
            </w:r>
          </w:p>
        </w:tc>
        <w:tc>
          <w:tcPr>
            <w:tcW w:type="dxa" w:w="200"/>
            <w:tcBorders>
              <w:top w:val="single" w:color="AAAAAA" w:sz="6"/>
              <w:left w:val="single" w:color="AAAAAA" w:sz="6"/>
              <w:bottom w:val="single" w:color="AAAAAA" w:sz="6"/>
              <w:right w:val="single" w:color="AAAAAA" w:sz="6"/>
            </w:tcBorders>
            <w:shd w:fill="E8EAF6" w:val="clear"/>
            <w:tcMar>
              <w:top w:type="dxa" w:w="80"/>
              <w:left w:type="dxa" w:w="40"/>
              <w:bottom w:type="dxa" w:w="80"/>
              <w:right w:type="dxa" w:w="40"/>
            </w:tcMar>
          </w:tcPr>
          <w:p>
            <w:pPr>
              <w:jc w:val="center"/>
            </w:pPr>
            <w:r>
              <w:rPr>
                <w:rFonts w:ascii="Times New Roman" w:cs="Times New Roman" w:eastAsia="Times New Roman" w:hAnsi="Times New Roman"/>
                <w:b/>
                <w:bCs/>
                <w:color w:val="1A237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Lembaga Keuangan Syariah atau Bisnis Halal yang disetujui Prodi (dalam 150 km dari kampus atau sesuai domisili mahasiswa)</w:t>
            </w:r>
          </w:p>
        </w:tc>
      </w:tr>
      <w:tr>
        <w:tc>
          <w:tcPr>
            <w:tcW w:type="dxa" w:w="2800"/>
            <w:tcBorders>
              <w:top w:val="single" w:color="AAAAAA" w:sz="6"/>
              <w:left w:val="single" w:color="AAAAAA" w:sz="6"/>
              <w:bottom w:val="single" w:color="AAAAAA" w:sz="6"/>
              <w:right w:val="single" w:color="AAAAAA" w:sz="6"/>
            </w:tcBorders>
            <w:shd w:fill="E8EAF6" w:val="clear"/>
            <w:tcMar>
              <w:top w:type="dxa" w:w="80"/>
              <w:left w:type="dxa" w:w="120"/>
              <w:bottom w:type="dxa" w:w="80"/>
              <w:right w:type="dxa" w:w="80"/>
            </w:tcMar>
          </w:tcPr>
          <w:p>
            <w:r>
              <w:rPr>
                <w:rFonts w:ascii="Times New Roman" w:cs="Times New Roman" w:eastAsia="Times New Roman" w:hAnsi="Times New Roman"/>
                <w:b/>
                <w:bCs/>
                <w:color w:val="1A237E"/>
                <w:sz w:val="22"/>
                <w:szCs w:val="22"/>
              </w:rPr>
              <w:t xml:space="preserve">Dosen Pembimbing</w:t>
            </w:r>
          </w:p>
        </w:tc>
        <w:tc>
          <w:tcPr>
            <w:tcW w:type="dxa" w:w="200"/>
            <w:tcBorders>
              <w:top w:val="single" w:color="AAAAAA" w:sz="6"/>
              <w:left w:val="single" w:color="AAAAAA" w:sz="6"/>
              <w:bottom w:val="single" w:color="AAAAAA" w:sz="6"/>
              <w:right w:val="single" w:color="AAAAAA" w:sz="6"/>
            </w:tcBorders>
            <w:shd w:fill="E8EAF6" w:val="clear"/>
            <w:tcMar>
              <w:top w:type="dxa" w:w="80"/>
              <w:left w:type="dxa" w:w="40"/>
              <w:bottom w:type="dxa" w:w="80"/>
              <w:right w:type="dxa" w:w="40"/>
            </w:tcMar>
          </w:tcPr>
          <w:p>
            <w:pPr>
              <w:jc w:val="center"/>
            </w:pPr>
            <w:r>
              <w:rPr>
                <w:rFonts w:ascii="Times New Roman" w:cs="Times New Roman" w:eastAsia="Times New Roman" w:hAnsi="Times New Roman"/>
                <w:b/>
                <w:bCs/>
                <w:color w:val="1A237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Dosen STEI FI yang ditunjuk Kaprodi (1 pembimbing per 5 mahasiswa)</w:t>
            </w:r>
          </w:p>
        </w:tc>
      </w:tr>
      <w:tr>
        <w:tc>
          <w:tcPr>
            <w:tcW w:type="dxa" w:w="2800"/>
            <w:tcBorders>
              <w:top w:val="single" w:color="AAAAAA" w:sz="6"/>
              <w:left w:val="single" w:color="AAAAAA" w:sz="6"/>
              <w:bottom w:val="single" w:color="AAAAAA" w:sz="6"/>
              <w:right w:val="single" w:color="AAAAAA" w:sz="6"/>
            </w:tcBorders>
            <w:shd w:fill="E8EAF6" w:val="clear"/>
            <w:tcMar>
              <w:top w:type="dxa" w:w="80"/>
              <w:left w:type="dxa" w:w="120"/>
              <w:bottom w:type="dxa" w:w="80"/>
              <w:right w:type="dxa" w:w="80"/>
            </w:tcMar>
          </w:tcPr>
          <w:p>
            <w:r>
              <w:rPr>
                <w:rFonts w:ascii="Times New Roman" w:cs="Times New Roman" w:eastAsia="Times New Roman" w:hAnsi="Times New Roman"/>
                <w:b/>
                <w:bCs/>
                <w:color w:val="1A237E"/>
                <w:sz w:val="22"/>
                <w:szCs w:val="22"/>
              </w:rPr>
              <w:t xml:space="preserve">Tahun Akademik</w:t>
            </w:r>
          </w:p>
        </w:tc>
        <w:tc>
          <w:tcPr>
            <w:tcW w:type="dxa" w:w="200"/>
            <w:tcBorders>
              <w:top w:val="single" w:color="AAAAAA" w:sz="6"/>
              <w:left w:val="single" w:color="AAAAAA" w:sz="6"/>
              <w:bottom w:val="single" w:color="AAAAAA" w:sz="6"/>
              <w:right w:val="single" w:color="AAAAAA" w:sz="6"/>
            </w:tcBorders>
            <w:shd w:fill="E8EAF6" w:val="clear"/>
            <w:tcMar>
              <w:top w:type="dxa" w:w="80"/>
              <w:left w:type="dxa" w:w="40"/>
              <w:bottom w:type="dxa" w:w="80"/>
              <w:right w:type="dxa" w:w="40"/>
            </w:tcMar>
          </w:tcPr>
          <w:p>
            <w:pPr>
              <w:jc w:val="center"/>
            </w:pPr>
            <w:r>
              <w:rPr>
                <w:rFonts w:ascii="Times New Roman" w:cs="Times New Roman" w:eastAsia="Times New Roman" w:hAnsi="Times New Roman"/>
                <w:b/>
                <w:bCs/>
                <w:color w:val="1A237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2025/2026 (Semester Genap)</w:t>
            </w:r>
          </w:p>
        </w:tc>
      </w:tr>
      <w:tr>
        <w:tc>
          <w:tcPr>
            <w:tcW w:type="dxa" w:w="2800"/>
            <w:tcBorders>
              <w:top w:val="single" w:color="AAAAAA" w:sz="6"/>
              <w:left w:val="single" w:color="AAAAAA" w:sz="6"/>
              <w:bottom w:val="single" w:color="AAAAAA" w:sz="6"/>
              <w:right w:val="single" w:color="AAAAAA" w:sz="6"/>
            </w:tcBorders>
            <w:shd w:fill="E8EAF6" w:val="clear"/>
            <w:tcMar>
              <w:top w:type="dxa" w:w="80"/>
              <w:left w:type="dxa" w:w="120"/>
              <w:bottom w:type="dxa" w:w="80"/>
              <w:right w:type="dxa" w:w="80"/>
            </w:tcMar>
          </w:tcPr>
          <w:p>
            <w:r>
              <w:rPr>
                <w:rFonts w:ascii="Times New Roman" w:cs="Times New Roman" w:eastAsia="Times New Roman" w:hAnsi="Times New Roman"/>
                <w:b/>
                <w:bCs/>
                <w:color w:val="1A237E"/>
                <w:sz w:val="22"/>
                <w:szCs w:val="22"/>
              </w:rPr>
              <w:t xml:space="preserve">Dasar Hukum</w:t>
            </w:r>
          </w:p>
        </w:tc>
        <w:tc>
          <w:tcPr>
            <w:tcW w:type="dxa" w:w="200"/>
            <w:tcBorders>
              <w:top w:val="single" w:color="AAAAAA" w:sz="6"/>
              <w:left w:val="single" w:color="AAAAAA" w:sz="6"/>
              <w:bottom w:val="single" w:color="AAAAAA" w:sz="6"/>
              <w:right w:val="single" w:color="AAAAAA" w:sz="6"/>
            </w:tcBorders>
            <w:shd w:fill="E8EAF6" w:val="clear"/>
            <w:tcMar>
              <w:top w:type="dxa" w:w="80"/>
              <w:left w:type="dxa" w:w="40"/>
              <w:bottom w:type="dxa" w:w="80"/>
              <w:right w:type="dxa" w:w="40"/>
            </w:tcMar>
          </w:tcPr>
          <w:p>
            <w:pPr>
              <w:jc w:val="center"/>
            </w:pPr>
            <w:r>
              <w:rPr>
                <w:rFonts w:ascii="Times New Roman" w:cs="Times New Roman" w:eastAsia="Times New Roman" w:hAnsi="Times New Roman"/>
                <w:b/>
                <w:bCs/>
                <w:color w:val="1A237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Permendikbud No. 3 Tahun 2020 (SN-DIKTI); Permendikbud No. 22 Tahun 2020 tentang MBKM; Statuta STEI FI Pasal 16; Panduan PKL STEI FI</w:t>
            </w:r>
          </w:p>
        </w:tc>
      </w:tr>
    </w:tbl>
    <w:p>
      <w:pPr>
        <w:spacing w:after="200" w:before="0"/>
      </w:pPr>
      <w:r>
        <w:t xml:space="preserve"/>
      </w:r>
    </w:p>
    <w:p>
      <w:pPr>
        <w:pBdr>
          <w:bottom w:val="single" w:color="1A237E" w:sz="8" w:space="4"/>
        </w:pBdr>
        <w:spacing w:after="120" w:before="300"/>
      </w:pPr>
      <w:r>
        <w:rPr>
          <w:rFonts w:ascii="Times New Roman" w:cs="Times New Roman" w:eastAsia="Times New Roman" w:hAnsi="Times New Roman"/>
          <w:b/>
          <w:bCs/>
          <w:caps/>
          <w:color w:val="1A237E"/>
          <w:sz w:val="28"/>
          <w:szCs w:val="28"/>
        </w:rPr>
        <w:t xml:space="preserve">B. DESKRIPSI MATA KULIAH</w:t>
      </w:r>
    </w:p>
    <w:p>
      <w:pPr>
        <w:spacing w:after="80" w:before="60"/>
        <w:jc w:val="both"/>
      </w:pPr>
      <w:r>
        <w:rPr>
          <w:rFonts w:ascii="Times New Roman" w:cs="Times New Roman" w:eastAsia="Times New Roman" w:hAnsi="Times New Roman"/>
          <w:color w:val="000000"/>
          <w:sz w:val="22"/>
          <w:szCs w:val="22"/>
        </w:rPr>
        <w:t xml:space="preserve">Mata kuliah Praktik Kerja Lapangan (PKL) / Magang merupakan Mata Kuliah Umum Praktik Lapangan (MKU) berbobot 2 (dua) SKS yang dilaksanakan pada Semester VI. PKL merupakan pengalaman belajar paling otentik dalam seluruh perjalanan studi di STEI Fitrah Insani - mahasiswa meninggalkan ruang kelas dan langsung terjun ke lapangan untuk merasakan, mengobservasi, dan berkontribusi dalam operasional nyata lembaga keuangan syariah atau bisnis halal.</w:t>
      </w:r>
    </w:p>
    <w:p>
      <w:pPr>
        <w:spacing w:after="60" w:before="0"/>
      </w:pPr>
      <w:r>
        <w:t xml:space="preserve"/>
      </w:r>
    </w:p>
    <w:p>
      <w:pPr>
        <w:spacing w:after="80" w:before="60"/>
        <w:jc w:val="both"/>
      </w:pPr>
      <w:r>
        <w:rPr>
          <w:rFonts w:ascii="Times New Roman" w:cs="Times New Roman" w:eastAsia="Times New Roman" w:hAnsi="Times New Roman"/>
          <w:color w:val="000000"/>
          <w:sz w:val="22"/>
          <w:szCs w:val="22"/>
        </w:rPr>
        <w:t xml:space="preserve">Melalui PKL, mahasiswa tidak hanya mengkonfirmasi (atau mempertanyakan) teori yang telah dipelajari selama lima semester, tetapi juga membangun jejaring profesional, mengembangkan soft skills yang tidak bisa diajarkan di kelas, dan mendapatkan gambaran realistis tentang karir yang akan mereka masuki. Lebih dari itu, PKL adalah latihan menjadi profesional Muslim yang berintegritas: disiplin, amanah, tepat waktu, menghormati atasan dan rekan kerja, dan memberikan kontribusi nyata bagi institusi.</w:t>
      </w:r>
    </w:p>
    <w:p>
      <w:pPr>
        <w:spacing w:after="60" w:before="0"/>
      </w:pPr>
      <w:r>
        <w:t xml:space="preserve"/>
      </w:r>
    </w:p>
    <w:p>
      <w:pPr>
        <w:spacing w:after="80" w:before="60"/>
        <w:jc w:val="both"/>
      </w:pPr>
      <w:r>
        <w:rPr>
          <w:rFonts w:ascii="Times New Roman" w:cs="Times New Roman" w:eastAsia="Times New Roman" w:hAnsi="Times New Roman"/>
          <w:color w:val="000000"/>
          <w:sz w:val="22"/>
          <w:szCs w:val="22"/>
        </w:rPr>
        <w:t xml:space="preserve">Pelaksanaan PKL dirancang dengan format Merdeka Belajar - Kampus Merdeka (MBKM): mahasiswa ditempatkan di institusi mitra selama minimal 6 minggu (240 jam kerja efektif) pada periode Juni-Juli 2026. Institusi mitra mencakup bank syariah (BSI, Bank Muamalat, BPRS), koperasi syariah (BMT/KSPPS), lembaga zakat dan wakaf (BAZNAS, Dompet Dhuafa, BWI), asuransi syariah, bisnis halal, dan instansi pemerintah terkait. Output wajib: logbook harian, laporan PKL (min. 40 halaman), dan seminar PKL.</w:t>
      </w:r>
    </w:p>
    <w:p>
      <w:pPr>
        <w:spacing w:after="200" w:before="0"/>
      </w:pPr>
      <w:r>
        <w:t xml:space="preserve"/>
      </w:r>
    </w:p>
    <w:p>
      <w:pPr>
        <w:pBdr>
          <w:bottom w:val="single" w:color="1A237E" w:sz="8" w:space="4"/>
        </w:pBdr>
        <w:spacing w:after="120" w:before="300"/>
      </w:pPr>
      <w:r>
        <w:rPr>
          <w:rFonts w:ascii="Times New Roman" w:cs="Times New Roman" w:eastAsia="Times New Roman" w:hAnsi="Times New Roman"/>
          <w:b/>
          <w:bCs/>
          <w:caps/>
          <w:color w:val="1A237E"/>
          <w:sz w:val="28"/>
          <w:szCs w:val="28"/>
        </w:rPr>
        <w:t xml:space="preserve">C. TUJUAN DAN MANFAAT PKL</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c>
          <w:tcPr>
            <w:tcW w:type="dxa" w:w="20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Perspektif</w:t>
            </w:r>
          </w:p>
        </w:tc>
        <w:tc>
          <w:tcPr>
            <w:tcW w:type="dxa" w:w="72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Tujuan &amp; Manfaat</w:t>
            </w:r>
          </w:p>
        </w:tc>
      </w:tr>
      <w:tr>
        <w:tc>
          <w:tcPr>
            <w:tcW w:type="dxa" w:w="20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Mahasiswa</w:t>
            </w:r>
          </w:p>
        </w:tc>
        <w:tc>
          <w:tcPr>
            <w:tcW w:type="dxa" w:w="72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(1) Menerapkan ilmu ekonomi Islam dalam konteks kerja nyata; (2) Mengembangkan kompetensi profesional dan soft skills; (3) Membangun jejaring (networking) dengan praktisi; (4) Mengidentifikasi topik skripsi yang relevan dari pengalaman lapangan; (5) Meningkatkan kesiapan kerja (work readiness)</w:t>
            </w:r>
          </w:p>
        </w:tc>
      </w:tr>
      <w:tr>
        <w:tc>
          <w:tcPr>
            <w:tcW w:type="dxa" w:w="20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STEI Fitrah Insani</w:t>
            </w:r>
          </w:p>
        </w:tc>
        <w:tc>
          <w:tcPr>
            <w:tcW w:type="dxa" w:w="72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(1) Memperoleh feedback dari dunia industri tentang relevansi kurikulum; (2) Menjalin hubungan kelembagaan dengan institusi mitra; (3) Meningkatkan reputasi dan kepercayaan industri; (4) Data untuk perbaikan kurikulum dan pengembangan program kerja sama</w:t>
            </w:r>
          </w:p>
        </w:tc>
      </w:tr>
      <w:tr>
        <w:tc>
          <w:tcPr>
            <w:tcW w:type="dxa" w:w="20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Institusi Mitra</w:t>
            </w:r>
          </w:p>
        </w:tc>
        <w:tc>
          <w:tcPr>
            <w:tcW w:type="dxa" w:w="72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(1) Mendapatkan tenaga magang yang sudah memiliki pengetahuan dasar ekonomi Islam; (2) Potensi rekrutmen karyawan baru yang sudah dikenal karakternya; (3) Kontribusi terhadap pengembangan SDM ekonomi Islam Indonesia</w:t>
            </w:r>
          </w:p>
        </w:tc>
      </w:tr>
    </w:tbl>
    <w:p>
      <w:pPr>
        <w:spacing w:after="200" w:before="0"/>
      </w:pPr>
      <w:r>
        <w:t xml:space="preserve"/>
      </w:r>
    </w:p>
    <w:p>
      <w:pPr>
        <w:pBdr>
          <w:bottom w:val="single" w:color="1A237E" w:sz="8" w:space="4"/>
        </w:pBdr>
        <w:spacing w:after="120" w:before="300"/>
      </w:pPr>
      <w:r>
        <w:rPr>
          <w:rFonts w:ascii="Times New Roman" w:cs="Times New Roman" w:eastAsia="Times New Roman" w:hAnsi="Times New Roman"/>
          <w:b/>
          <w:bCs/>
          <w:caps/>
          <w:color w:val="1A237E"/>
          <w:sz w:val="28"/>
          <w:szCs w:val="28"/>
        </w:rPr>
        <w:t xml:space="preserve">D. CPL DAN CPMK</w:t>
      </w:r>
    </w:p>
    <w:p>
      <w:pPr>
        <w:spacing w:after="80" w:before="200"/>
      </w:pPr>
      <w:r>
        <w:rPr>
          <w:rFonts w:ascii="Times New Roman" w:cs="Times New Roman" w:eastAsia="Times New Roman" w:hAnsi="Times New Roman"/>
          <w:b/>
          <w:bCs/>
          <w:color w:val="283593"/>
          <w:sz w:val="24"/>
          <w:szCs w:val="24"/>
        </w:rPr>
        <w:t xml:space="preserve">D.1 CPL yang Dibebankan</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600"/>
      </w:tblGrid>
      <w:tr>
        <w:tc>
          <w:tcPr>
            <w:tcW w:type="dxa" w:w="12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Kode</w:t>
            </w:r>
          </w:p>
        </w:tc>
        <w:tc>
          <w:tcPr>
            <w:tcW w:type="dxa" w:w="24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Ranah</w:t>
            </w:r>
          </w:p>
        </w:tc>
        <w:tc>
          <w:tcPr>
            <w:tcW w:type="dxa" w:w="56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Rumusan CPL</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S-8</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Sikap</w:t>
            </w:r>
          </w:p>
        </w:tc>
        <w:tc>
          <w:tcPr>
            <w:tcW w:type="dxa" w:w="5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Menunjukkan sikap profesional, berintegritas, dan berakhlak mulia dalam lingkungan kerja nyata; menginternalisasi budaya kerja Islam (amanah, itqan, tepat waktu, jujur, menghormati atasan dan rekan kerja) selama pelaksanaan PKL; mampu beradaptasi dengan budaya organisasi sambil mempertahankan nilai-nilai Islam.</w:t>
            </w:r>
          </w:p>
        </w:tc>
      </w:tr>
      <w:tr>
        <w:tc>
          <w:tcPr>
            <w:tcW w:type="dxa" w:w="1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P-18</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Pengetahuan</w:t>
            </w:r>
          </w:p>
        </w:tc>
        <w:tc>
          <w:tcPr>
            <w:tcW w:type="dxa" w:w="5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Memahami secara nyata prosedur operasional, regulasi yang berlaku, produk dan layanan, serta tantangan aktual yang dihadapi lembaga keuangan syariah atau bisnis halal mitra PKL; mengaitkan pengalaman lapangan dengan teori yang telah dipelajari.</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KU-6</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Keterampilan Umum</w:t>
            </w:r>
          </w:p>
        </w:tc>
        <w:tc>
          <w:tcPr>
            <w:tcW w:type="dxa" w:w="5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Mampu bekerja secara mandiri maupun tim dalam lingkungan profesional; mengomunikasikan hasil observasi dan analisis lapangan secara tertulis (laporan PKL) dan lisan (seminar PKL) dengan bahasa akademis yang tepat.</w:t>
            </w:r>
          </w:p>
        </w:tc>
      </w:tr>
      <w:tr>
        <w:tc>
          <w:tcPr>
            <w:tcW w:type="dxa" w:w="1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KK-14</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Keterampilan Khusus</w:t>
            </w:r>
          </w:p>
        </w:tc>
        <w:tc>
          <w:tcPr>
            <w:tcW w:type="dxa" w:w="5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Mampu menganalisis kesenjangan (gap) antara teori ekonomi Islam yang dipelajari dengan praktik nyata di lapangan, merumuskan temuan kritis yang konstruktif, dan memberikan rekomendasi yang bernilai bagi institusi mitra maupun bagi pengembangan kurikulum STEI FI.</w:t>
            </w:r>
          </w:p>
        </w:tc>
      </w:tr>
    </w:tbl>
    <w:p>
      <w:pPr>
        <w:spacing w:after="160" w:before="0"/>
      </w:pPr>
      <w:r>
        <w:t xml:space="preserve"/>
      </w:r>
    </w:p>
    <w:p>
      <w:pPr>
        <w:spacing w:after="80" w:before="200"/>
      </w:pPr>
      <w:r>
        <w:rPr>
          <w:rFonts w:ascii="Times New Roman" w:cs="Times New Roman" w:eastAsia="Times New Roman" w:hAnsi="Times New Roman"/>
          <w:b/>
          <w:bCs/>
          <w:color w:val="283593"/>
          <w:sz w:val="24"/>
          <w:szCs w:val="24"/>
        </w:rPr>
        <w:t xml:space="preserve">D.2 Capaian Pembelajaran Mata Kuliah (CPMK)</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200"/>
      </w:tblGrid>
      <w:tr>
        <w:tc>
          <w:tcPr>
            <w:tcW w:type="dxa" w:w="12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Kode</w:t>
            </w:r>
          </w:p>
        </w:tc>
        <w:tc>
          <w:tcPr>
            <w:tcW w:type="dxa" w:w="38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Rumusan CPMK</w:t>
            </w:r>
          </w:p>
        </w:tc>
        <w:tc>
          <w:tcPr>
            <w:tcW w:type="dxa" w:w="42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CPL</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CPMK-1</w:t>
            </w:r>
          </w:p>
        </w:tc>
        <w:tc>
          <w:tcPr>
            <w:tcW w:type="dxa" w:w="3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mendeskripsikan secara komprehensif profil, produk, dan prosedur operasional institusi tempat PKL.</w:t>
            </w:r>
          </w:p>
        </w:tc>
        <w:tc>
          <w:tcPr>
            <w:tcW w:type="dxa" w:w="4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S-8, P-18</w:t>
            </w:r>
          </w:p>
        </w:tc>
      </w:tr>
      <w:tr>
        <w:tc>
          <w:tcPr>
            <w:tcW w:type="dxa" w:w="1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CPMK-2</w:t>
            </w:r>
          </w:p>
        </w:tc>
        <w:tc>
          <w:tcPr>
            <w:tcW w:type="dxa" w:w="3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melaksanakan tugas-tugas yang diberikan institusi PKL dengan penuh tanggung jawab, disiplin, dan etika profesi Islam.</w:t>
            </w:r>
          </w:p>
        </w:tc>
        <w:tc>
          <w:tcPr>
            <w:tcW w:type="dxa" w:w="4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S-8, KU-6</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CPMK-3</w:t>
            </w:r>
          </w:p>
        </w:tc>
        <w:tc>
          <w:tcPr>
            <w:tcW w:type="dxa" w:w="3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mengobservasi dan menganalisis praktik ekonomi Islam (produk, akad, regulasi, pelayanan) di institusi PKL secara kritis.</w:t>
            </w:r>
          </w:p>
        </w:tc>
        <w:tc>
          <w:tcPr>
            <w:tcW w:type="dxa" w:w="4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P-18, KU-6, KK-14</w:t>
            </w:r>
          </w:p>
        </w:tc>
      </w:tr>
      <w:tr>
        <w:tc>
          <w:tcPr>
            <w:tcW w:type="dxa" w:w="1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CPMK-4</w:t>
            </w:r>
          </w:p>
        </w:tc>
        <w:tc>
          <w:tcPr>
            <w:tcW w:type="dxa" w:w="3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mendokumentasikan pengalaman PKL secara sistematis dalam logbook harian dan mengidentifikasi pelajaran bernilai dari setiap aktivitas.</w:t>
            </w:r>
          </w:p>
        </w:tc>
        <w:tc>
          <w:tcPr>
            <w:tcW w:type="dxa" w:w="4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KU-6, KK-14</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CPMK-5</w:t>
            </w:r>
          </w:p>
        </w:tc>
        <w:tc>
          <w:tcPr>
            <w:tcW w:type="dxa" w:w="3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menyusun dan mempresentasikan laporan PKL yang komprehensif, menganalisis gap teori-praktik, dan merumuskan rekomendasi yang konstruktif.</w:t>
            </w:r>
          </w:p>
        </w:tc>
        <w:tc>
          <w:tcPr>
            <w:tcW w:type="dxa" w:w="4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KK-14, KU-6</w:t>
            </w:r>
          </w:p>
        </w:tc>
      </w:tr>
    </w:tbl>
    <w:p>
      <w:pPr>
        <w:spacing w:after="200" w:before="0"/>
      </w:pPr>
      <w:r>
        <w:t xml:space="preserve"/>
      </w:r>
    </w:p>
    <w:p>
      <w:pPr>
        <w:pBdr>
          <w:bottom w:val="single" w:color="1A237E" w:sz="8" w:space="4"/>
        </w:pBdr>
        <w:spacing w:after="120" w:before="300"/>
      </w:pPr>
      <w:r>
        <w:rPr>
          <w:rFonts w:ascii="Times New Roman" w:cs="Times New Roman" w:eastAsia="Times New Roman" w:hAnsi="Times New Roman"/>
          <w:b/>
          <w:bCs/>
          <w:caps/>
          <w:color w:val="1A237E"/>
          <w:sz w:val="28"/>
          <w:szCs w:val="28"/>
        </w:rPr>
        <w:t xml:space="preserve">E. TEMPAT PKL YANG DIREKOMENDASIKAN</w:t>
      </w:r>
    </w:p>
    <w:p>
      <w:pPr>
        <w:spacing w:after="80" w:before="60"/>
        <w:jc w:val="both"/>
      </w:pPr>
      <w:r>
        <w:rPr>
          <w:rFonts w:ascii="Times New Roman" w:cs="Times New Roman" w:eastAsia="Times New Roman" w:hAnsi="Times New Roman"/>
          <w:color w:val="000000"/>
          <w:sz w:val="22"/>
          <w:szCs w:val="22"/>
        </w:rPr>
        <w:t xml:space="preserve">Mahasiswa dapat memilih tempat PKL dari kategori berikut, dengan persetujuan Program Studi:</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800"/>
      </w:tblGrid>
      <w:tr>
        <w:tc>
          <w:tcPr>
            <w:tcW w:type="dxa" w:w="22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Kategori</w:t>
            </w:r>
          </w:p>
        </w:tc>
        <w:tc>
          <w:tcPr>
            <w:tcW w:type="dxa" w:w="32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Contoh Institusi</w:t>
            </w:r>
          </w:p>
        </w:tc>
        <w:tc>
          <w:tcPr>
            <w:tcW w:type="dxa" w:w="38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Divisi/Bagian yang Relevan</w:t>
            </w:r>
          </w:p>
        </w:tc>
      </w:tr>
      <w:tr>
        <w:tc>
          <w:tcPr>
            <w:tcW w:type="dxa" w:w="22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Perbankan Syariah</w:t>
            </w:r>
          </w:p>
        </w:tc>
        <w:tc>
          <w:tcPr>
            <w:tcW w:type="dxa" w:w="32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Bank Syariah Indonesia (BSI), Bank Muamalat, BRIS, BTPN Syariah, Bank Mega Syariah</w:t>
            </w:r>
          </w:p>
        </w:tc>
        <w:tc>
          <w:tcPr>
            <w:tcW w:type="dxa" w:w="38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Operasional Cabang, Marketing, Credit Analyst, Compliance, Audit Internal</w:t>
            </w:r>
          </w:p>
        </w:tc>
      </w:tr>
      <w:tr>
        <w:tc>
          <w:tcPr>
            <w:tcW w:type="dxa" w:w="22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BPR Syariah</w:t>
            </w:r>
          </w:p>
        </w:tc>
        <w:tc>
          <w:tcPr>
            <w:tcW w:type="dxa" w:w="32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BPRS di Jawa Barat (BPR Syariah Patriot Bekasi, BPRS HIK, BPRS Amanah Rabbaniah, dll.)</w:t>
            </w:r>
          </w:p>
        </w:tc>
        <w:tc>
          <w:tcPr>
            <w:tcW w:type="dxa" w:w="38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Teller, CS, Account Officer, Administrasi Kredit</w:t>
            </w:r>
          </w:p>
        </w:tc>
      </w:tr>
      <w:tr>
        <w:tc>
          <w:tcPr>
            <w:tcW w:type="dxa" w:w="22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Koperasi Syariah / BMT</w:t>
            </w:r>
          </w:p>
        </w:tc>
        <w:tc>
          <w:tcPr>
            <w:tcW w:type="dxa" w:w="32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KSPPS BMT terdekat: BMT Itqan, BMT Al-Ittihad, BMT UGT Sidogiri, dll.</w:t>
            </w:r>
          </w:p>
        </w:tc>
        <w:tc>
          <w:tcPr>
            <w:tcW w:type="dxa" w:w="38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Operasional, Pembiayaan, Baitul Maal</w:t>
            </w:r>
          </w:p>
        </w:tc>
      </w:tr>
      <w:tr>
        <w:tc>
          <w:tcPr>
            <w:tcW w:type="dxa" w:w="22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Lembaga Zakat/Wakaf</w:t>
            </w:r>
          </w:p>
        </w:tc>
        <w:tc>
          <w:tcPr>
            <w:tcW w:type="dxa" w:w="32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BAZNAS Kab. Bandung Barat/Kota Bandung, Dompet Dhuafa, LAZISMU, LAZISNU, BWI Jabar</w:t>
            </w:r>
          </w:p>
        </w:tc>
        <w:tc>
          <w:tcPr>
            <w:tcW w:type="dxa" w:w="38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Penghimpunan, Penyaluran, Data &amp; Riset, Keuangan</w:t>
            </w:r>
          </w:p>
        </w:tc>
      </w:tr>
      <w:tr>
        <w:tc>
          <w:tcPr>
            <w:tcW w:type="dxa" w:w="22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Asuransi Syariah</w:t>
            </w:r>
          </w:p>
        </w:tc>
        <w:tc>
          <w:tcPr>
            <w:tcW w:type="dxa" w:w="32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Takaful Indonesia, Allianz Syariah, FWD Syariah, AIA Syariah</w:t>
            </w:r>
          </w:p>
        </w:tc>
        <w:tc>
          <w:tcPr>
            <w:tcW w:type="dxa" w:w="38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Marketing, Underwriting, Klaim, Operasional</w:t>
            </w:r>
          </w:p>
        </w:tc>
      </w:tr>
      <w:tr>
        <w:tc>
          <w:tcPr>
            <w:tcW w:type="dxa" w:w="22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Bisnis Halal</w:t>
            </w:r>
          </w:p>
        </w:tc>
        <w:tc>
          <w:tcPr>
            <w:tcW w:type="dxa" w:w="32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UMKM halal, startup halal, platform e-commerce halal, konsultan sertifikasi halal BPJPH</w:t>
            </w:r>
          </w:p>
        </w:tc>
        <w:tc>
          <w:tcPr>
            <w:tcW w:type="dxa" w:w="38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Marketing, Keuangan, Operasional, Business Development</w:t>
            </w:r>
          </w:p>
        </w:tc>
      </w:tr>
      <w:tr>
        <w:tc>
          <w:tcPr>
            <w:tcW w:type="dxa" w:w="22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Instansi Pemerintah</w:t>
            </w:r>
          </w:p>
        </w:tc>
        <w:tc>
          <w:tcPr>
            <w:tcW w:type="dxa" w:w="32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OJK Kantor Regional Jabar, BI Perwakilan Jawa Barat, Kemenag Kab. Bandung Barat</w:t>
            </w:r>
          </w:p>
        </w:tc>
        <w:tc>
          <w:tcPr>
            <w:tcW w:type="dxa" w:w="38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Pengawasan LKS, Riset, Administrasi</w:t>
            </w:r>
          </w:p>
        </w:tc>
      </w:tr>
    </w:tbl>
    <w:p>
      <w:pPr>
        <w:spacing w:after="200" w:before="0"/>
      </w:pPr>
      <w:r>
        <w:t xml:space="preserve"/>
      </w:r>
    </w:p>
    <w:p>
      <w:pPr>
        <w:pBdr>
          <w:bottom w:val="single" w:color="1A237E" w:sz="8" w:space="4"/>
        </w:pBdr>
        <w:spacing w:after="120" w:before="300"/>
      </w:pPr>
      <w:r>
        <w:rPr>
          <w:rFonts w:ascii="Times New Roman" w:cs="Times New Roman" w:eastAsia="Times New Roman" w:hAnsi="Times New Roman"/>
          <w:b/>
          <w:bCs/>
          <w:caps/>
          <w:color w:val="1A237E"/>
          <w:sz w:val="28"/>
          <w:szCs w:val="28"/>
        </w:rPr>
        <w:t xml:space="preserve">F. ALUR DAN TAHAPAN PKL</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600"/>
        <w:gridCol w:w="2600"/>
      </w:tblGrid>
      <w:tr>
        <w:tc>
          <w:tcPr>
            <w:tcW w:type="dxa" w:w="8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Fase</w:t>
            </w:r>
          </w:p>
        </w:tc>
        <w:tc>
          <w:tcPr>
            <w:tcW w:type="dxa" w:w="22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Waktu</w:t>
            </w:r>
          </w:p>
        </w:tc>
        <w:tc>
          <w:tcPr>
            <w:tcW w:type="dxa" w:w="36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Kegiatan</w:t>
            </w:r>
          </w:p>
        </w:tc>
        <w:tc>
          <w:tcPr>
            <w:tcW w:type="dxa" w:w="26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Output</w:t>
            </w:r>
          </w:p>
        </w:tc>
      </w:tr>
      <w:tr>
        <w:tc>
          <w:tcPr>
            <w:tcW w:type="dxa" w:w="8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Pra-PKL</w:t>
            </w:r>
          </w:p>
        </w:tc>
        <w:tc>
          <w:tcPr>
            <w:tcW w:type="dxa" w:w="22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Maret - Mei 2026
(Smt VI berjalan)</w:t>
            </w:r>
          </w:p>
        </w:tc>
        <w:tc>
          <w:tcPr>
            <w:tcW w:type="dxa" w:w="36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Orientasi PKL; Pengajuan tempat PKL; Proses seleksi/penerimaan; Pembekalan PKL (etika profesi, K3, laporan); Penandatanganan MOU (jika diperlukan); Pembuatan surat pengantar prodi</w:t>
            </w:r>
          </w:p>
        </w:tc>
        <w:tc>
          <w:tcPr>
            <w:tcW w:type="dxa" w:w="26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Surat pengantar prodi; Surat penerimaan dari institusi; SK pembimbing PKL</w:t>
            </w:r>
          </w:p>
        </w:tc>
      </w:tr>
      <w:tr>
        <w:tc>
          <w:tcPr>
            <w:tcW w:type="dxa" w:w="8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Pelaksanaan PKL</w:t>
            </w:r>
          </w:p>
        </w:tc>
        <w:tc>
          <w:tcPr>
            <w:tcW w:type="dxa" w:w="22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Juni - Juli 2026
(6-8 minggu)</w:t>
            </w:r>
          </w:p>
        </w:tc>
        <w:tc>
          <w:tcPr>
            <w:tcW w:type="dxa" w:w="36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Magang di institusi mitra; Melaksanakan tugas sesuai bidang; Observasi dan partisipasi aktif; Mengisi logbook harian; Konsultasi berkala dengan pembimbing (min. 2x per minggu via WA/online); Menyusun laporan sementara minggu ke-4</w:t>
            </w:r>
          </w:p>
        </w:tc>
        <w:tc>
          <w:tcPr>
            <w:tcW w:type="dxa" w:w="26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Logbook harian (6 minggu); Laporan kemajuan minggu ke-4; Penilaian dari pembimbing lapangan</w:t>
            </w:r>
          </w:p>
        </w:tc>
      </w:tr>
      <w:tr>
        <w:tc>
          <w:tcPr>
            <w:tcW w:type="dxa" w:w="8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Pasca-PKL</w:t>
            </w:r>
          </w:p>
        </w:tc>
        <w:tc>
          <w:tcPr>
            <w:tcW w:type="dxa" w:w="22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Agustus 2026
(Smt VI berakhir)</w:t>
            </w:r>
          </w:p>
        </w:tc>
        <w:tc>
          <w:tcPr>
            <w:tcW w:type="dxa" w:w="36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Penyusunan laporan PKL akhir; Konsultasi dengan dosen pembimbing; Seminar PKL (presentasi kelompok per institusi); Penyerahan laporan final yang telah disetujui pembimbing dan dosen</w:t>
            </w:r>
          </w:p>
        </w:tc>
        <w:tc>
          <w:tcPr>
            <w:tcW w:type="dxa" w:w="26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Laporan PKL final; Nilai dari pembimbing lapangan; Nilai seminar PKL</w:t>
            </w:r>
          </w:p>
        </w:tc>
      </w:tr>
    </w:tbl>
    <w:p>
      <w:pPr>
        <w:spacing w:after="200" w:before="0"/>
      </w:pPr>
      <w:r>
        <w:t xml:space="preserve"/>
      </w:r>
    </w:p>
    <w:p>
      <w:pPr>
        <w:pBdr>
          <w:bottom w:val="single" w:color="1A237E" w:sz="8" w:space="4"/>
        </w:pBdr>
        <w:spacing w:after="120" w:before="300"/>
      </w:pPr>
      <w:r>
        <w:rPr>
          <w:rFonts w:ascii="Times New Roman" w:cs="Times New Roman" w:eastAsia="Times New Roman" w:hAnsi="Times New Roman"/>
          <w:b/>
          <w:bCs/>
          <w:caps/>
          <w:color w:val="1A237E"/>
          <w:sz w:val="28"/>
          <w:szCs w:val="28"/>
        </w:rPr>
        <w:t xml:space="preserve">G. PEMBIMBING PKL</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600"/>
      </w:tblGrid>
      <w:tr>
        <w:tc>
          <w:tcPr>
            <w:tcW w:type="dxa" w:w="20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Pembimbing</w:t>
            </w:r>
          </w:p>
        </w:tc>
        <w:tc>
          <w:tcPr>
            <w:tcW w:type="dxa" w:w="36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Peran &amp; Tugas</w:t>
            </w:r>
          </w:p>
        </w:tc>
        <w:tc>
          <w:tcPr>
            <w:tcW w:type="dxa" w:w="36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Kewajiban Mahasiswa</w:t>
            </w:r>
          </w:p>
        </w:tc>
      </w:tr>
      <w:tr>
        <w:tc>
          <w:tcPr>
            <w:tcW w:type="dxa" w:w="20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Dosen Pembimbing STEI FI</w:t>
            </w:r>
          </w:p>
        </w:tc>
        <w:tc>
          <w:tcPr>
            <w:tcW w:type="dxa" w:w="36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Memantau perkembangan PKL; Memberikan bimbingan penyusunan laporan; Memeriksa logbook; Memberikan nilai laporan dan seminar</w:t>
            </w:r>
          </w:p>
        </w:tc>
        <w:tc>
          <w:tcPr>
            <w:tcW w:type="dxa" w:w="36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Konsultasi min. 2x selama PKL; Menyerahkan logbook untuk diperiksa tiap 2 minggu; Konfirmasi tempat PKL kepada pembimbing</w:t>
            </w:r>
          </w:p>
        </w:tc>
      </w:tr>
      <w:tr>
        <w:tc>
          <w:tcPr>
            <w:tcW w:type="dxa" w:w="20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Pembimbing Lapangan (Supervisor)</w:t>
            </w:r>
          </w:p>
        </w:tc>
        <w:tc>
          <w:tcPr>
            <w:tcW w:type="dxa" w:w="36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Membimbing mahasiswa di institusi; Memberikan tugas kerja nyata; Mengisi borang penilaian STEI FI pada akhir PKL</w:t>
            </w:r>
          </w:p>
        </w:tc>
        <w:tc>
          <w:tcPr>
            <w:tcW w:type="dxa" w:w="36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Menghormati instruksi pembimbing; Menjaga kerahasiaan informasi institusi; Melaporkan kendala kepada dosen pembimbing</w:t>
            </w:r>
          </w:p>
        </w:tc>
      </w:tr>
    </w:tbl>
    <w:p>
      <w:pPr>
        <w:spacing w:after="200" w:before="0"/>
      </w:pPr>
      <w:r>
        <w:t xml:space="preserve"/>
      </w:r>
    </w:p>
    <w:p>
      <w:pPr>
        <w:pBdr>
          <w:bottom w:val="single" w:color="1A237E" w:sz="8" w:space="4"/>
        </w:pBdr>
        <w:spacing w:after="120" w:before="300"/>
      </w:pPr>
      <w:r>
        <w:rPr>
          <w:rFonts w:ascii="Times New Roman" w:cs="Times New Roman" w:eastAsia="Times New Roman" w:hAnsi="Times New Roman"/>
          <w:b/>
          <w:bCs/>
          <w:caps/>
          <w:color w:val="1A237E"/>
          <w:sz w:val="28"/>
          <w:szCs w:val="28"/>
        </w:rPr>
        <w:t xml:space="preserve">H. FORMAT LAPORAN PKL</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600"/>
      </w:tblGrid>
      <w:tr>
        <w:tc>
          <w:tcPr>
            <w:tcW w:type="dxa" w:w="14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Bab</w:t>
            </w:r>
          </w:p>
        </w:tc>
        <w:tc>
          <w:tcPr>
            <w:tcW w:type="dxa" w:w="22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Judul</w:t>
            </w:r>
          </w:p>
        </w:tc>
        <w:tc>
          <w:tcPr>
            <w:tcW w:type="dxa" w:w="56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Konten</w:t>
            </w:r>
          </w:p>
        </w:tc>
      </w:tr>
      <w:tr>
        <w:tc>
          <w:tcPr>
            <w:tcW w:type="dxa" w:w="14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Halaman Depan</w:t>
            </w:r>
          </w:p>
        </w:tc>
        <w:tc>
          <w:tcPr>
            <w:tcW w:type="dxa" w:w="22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w:t>
            </w:r>
          </w:p>
        </w:tc>
        <w:tc>
          <w:tcPr>
            <w:tcW w:type="dxa" w:w="56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Halaman judul, lembar persetujuan (dosen pembimbing + pembimbing lapangan), kata pengantar, daftar isi, daftar tabel, daftar gambar</w:t>
            </w:r>
          </w:p>
        </w:tc>
      </w:tr>
      <w:tr>
        <w:tc>
          <w:tcPr>
            <w:tcW w:type="dxa" w:w="1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BAB I</w:t>
            </w:r>
          </w:p>
        </w:tc>
        <w:tc>
          <w:tcPr>
            <w:tcW w:type="dxa" w:w="2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Pendahuluan</w:t>
            </w:r>
          </w:p>
        </w:tc>
        <w:tc>
          <w:tcPr>
            <w:tcW w:type="dxa" w:w="5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1.1 Latar Belakang PKL; 1.2 Tujuan PKL; 1.3 Manfaat PKL; 1.4 Profil Institusi Mitra (sejarah, visi-misi, struktur, produk); 1.5 Waktu dan Tempat Pelaksanaan</w:t>
            </w:r>
          </w:p>
        </w:tc>
      </w:tr>
      <w:tr>
        <w:tc>
          <w:tcPr>
            <w:tcW w:type="dxa" w:w="14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BAB II</w:t>
            </w:r>
          </w:p>
        </w:tc>
        <w:tc>
          <w:tcPr>
            <w:tcW w:type="dxa" w:w="22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Kajian Teori</w:t>
            </w:r>
          </w:p>
        </w:tc>
        <w:tc>
          <w:tcPr>
            <w:tcW w:type="dxa" w:w="56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Teori dan konsep yang relevan dengan bidang kerja (perbankan syariah, ZISWAF, dll.); Regulasi yang berlaku; Literatur terkait (min. 10 referensi)</w:t>
            </w:r>
          </w:p>
        </w:tc>
      </w:tr>
      <w:tr>
        <w:tc>
          <w:tcPr>
            <w:tcW w:type="dxa" w:w="1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BAB III</w:t>
            </w:r>
          </w:p>
        </w:tc>
        <w:tc>
          <w:tcPr>
            <w:tcW w:type="dxa" w:w="2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Pelaksanaan PKL</w:t>
            </w:r>
          </w:p>
        </w:tc>
        <w:tc>
          <w:tcPr>
            <w:tcW w:type="dxa" w:w="5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3.1 Bidang Kerja yang Dilaksanakan; 3.2 Uraian Kegiatan Mingguan; 3.3 Analisis dan Pembahasan (perbandingan teori vs praktik lapangan); 3.4 Hambatan dan Solusi</w:t>
            </w:r>
          </w:p>
        </w:tc>
      </w:tr>
      <w:tr>
        <w:tc>
          <w:tcPr>
            <w:tcW w:type="dxa" w:w="14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BAB IV</w:t>
            </w:r>
          </w:p>
        </w:tc>
        <w:tc>
          <w:tcPr>
            <w:tcW w:type="dxa" w:w="22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Penutup</w:t>
            </w:r>
          </w:p>
        </w:tc>
        <w:tc>
          <w:tcPr>
            <w:tcW w:type="dxa" w:w="56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4.1 Kesimpulan; 4.2 Rekomendasi (untuk institusi dan untuk STEI FI)</w:t>
            </w:r>
          </w:p>
        </w:tc>
      </w:tr>
      <w:tr>
        <w:tc>
          <w:tcPr>
            <w:tcW w:type="dxa" w:w="1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Lampiran</w:t>
            </w:r>
          </w:p>
        </w:tc>
        <w:tc>
          <w:tcPr>
            <w:tcW w:type="dxa" w:w="2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w:t>
            </w:r>
          </w:p>
        </w:tc>
        <w:tc>
          <w:tcPr>
            <w:tcW w:type="dxa" w:w="5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Surat penerimaan PKL; Logbook (rekap mingguan); Dokumentasi foto; Struktur organisasi institusi; Contoh formulir/dokumen (bila diizinkan)</w:t>
            </w:r>
          </w:p>
        </w:tc>
      </w:tr>
    </w:tbl>
    <w:p>
      <w:pPr>
        <w:spacing w:after="200" w:before="0"/>
      </w:pPr>
      <w:r>
        <w:t xml:space="preserve"/>
      </w:r>
    </w:p>
    <w:p>
      <w:pPr>
        <w:pBdr>
          <w:bottom w:val="single" w:color="1A237E" w:sz="8" w:space="4"/>
        </w:pBdr>
        <w:spacing w:after="120" w:before="300"/>
      </w:pPr>
      <w:r>
        <w:rPr>
          <w:rFonts w:ascii="Times New Roman" w:cs="Times New Roman" w:eastAsia="Times New Roman" w:hAnsi="Times New Roman"/>
          <w:b/>
          <w:bCs/>
          <w:caps/>
          <w:color w:val="1A237E"/>
          <w:sz w:val="28"/>
          <w:szCs w:val="28"/>
        </w:rPr>
        <w:t xml:space="preserve">I. SISTEM PENILAIAN</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1600"/>
        <w:gridCol w:w="1400"/>
      </w:tblGrid>
      <w:tr>
        <w:tc>
          <w:tcPr>
            <w:tcW w:type="dxa" w:w="22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Komponen Penilaian</w:t>
            </w:r>
          </w:p>
        </w:tc>
        <w:tc>
          <w:tcPr>
            <w:tcW w:type="dxa" w:w="40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Deskripsi &amp; Penilai</w:t>
            </w:r>
          </w:p>
        </w:tc>
        <w:tc>
          <w:tcPr>
            <w:tcW w:type="dxa" w:w="16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Ranah CPMK</w:t>
            </w:r>
          </w:p>
        </w:tc>
        <w:tc>
          <w:tcPr>
            <w:tcW w:type="dxa" w:w="14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Bobot</w:t>
            </w:r>
          </w:p>
        </w:tc>
      </w:tr>
      <w:tr>
        <w:tc>
          <w:tcPr>
            <w:tcW w:type="dxa" w:w="2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Penilaian Pembimbing Lapangan</w:t>
            </w:r>
          </w:p>
        </w:tc>
        <w:tc>
          <w:tcPr>
            <w:tcW w:type="dxa" w:w="4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Dinilai oleh supervisor/pembimbing di institusi PKL menggunakan borang penilaian STEI FI: (1) Kedisiplinan &amp; kehadiran (20%); (2) Etika dan sikap profesional (20%); (3) Kemampuan kerja dan inisiatif (30%); (4) Penguasaan bidang (30%).</w:t>
            </w:r>
          </w:p>
        </w:tc>
        <w:tc>
          <w:tcPr>
            <w:tcW w:type="dxa" w:w="1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1-4</w:t>
            </w:r>
          </w:p>
        </w:tc>
        <w:tc>
          <w:tcPr>
            <w:tcW w:type="dxa" w:w="1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40%</w:t>
            </w:r>
          </w:p>
        </w:tc>
      </w:tr>
      <w:tr>
        <w:tc>
          <w:tcPr>
            <w:tcW w:type="dxa" w:w="2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Logbook Harian</w:t>
            </w:r>
          </w:p>
        </w:tc>
        <w:tc>
          <w:tcPr>
            <w:tcW w:type="dxa" w:w="40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Catatan harian aktivitas PKL (6 minggu x 5 hari = min. 30 halaman): deskripsi kegiatan, pelajaran yang dipetik, refleksi nilai Islam. Dinilai oleh dosen pembimbing STEI FI.</w:t>
            </w:r>
          </w:p>
        </w:tc>
        <w:tc>
          <w:tcPr>
            <w:tcW w:type="dxa" w:w="1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1-4</w:t>
            </w:r>
          </w:p>
        </w:tc>
        <w:tc>
          <w:tcPr>
            <w:tcW w:type="dxa" w:w="1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w:t>
            </w:r>
          </w:p>
        </w:tc>
      </w:tr>
      <w:tr>
        <w:tc>
          <w:tcPr>
            <w:tcW w:type="dxa" w:w="2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Laporan PKL</w:t>
            </w:r>
          </w:p>
        </w:tc>
        <w:tc>
          <w:tcPr>
            <w:tcW w:type="dxa" w:w="4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Laporan tertulis komprehensif: BAB I (Pendahuluan &amp; Profil Institusi), BAB II (Kajian Teori Relevan), BAB III (Pelaksanaan PKL &amp; Analisis), BAB IV (Kesimpulan &amp; Rekomendasi). Format APA, min. 40 halaman. Dinilai dosen pembimbing.</w:t>
            </w:r>
          </w:p>
        </w:tc>
        <w:tc>
          <w:tcPr>
            <w:tcW w:type="dxa" w:w="1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1-5</w:t>
            </w:r>
          </w:p>
        </w:tc>
        <w:tc>
          <w:tcPr>
            <w:tcW w:type="dxa" w:w="1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25%</w:t>
            </w:r>
          </w:p>
        </w:tc>
      </w:tr>
      <w:tr>
        <w:tc>
          <w:tcPr>
            <w:tcW w:type="dxa" w:w="2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Seminar PKL</w:t>
            </w:r>
          </w:p>
        </w:tc>
        <w:tc>
          <w:tcPr>
            <w:tcW w:type="dxa" w:w="40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Presentasi kelompok (per institusi): ringkasan pengalaman PKL, temuan menarik, perbandingan teori-praktik, rekomendasi perbaikan institusi (10 mnt + QA). Dinilai dosen pembimbing + penguji.</w:t>
            </w:r>
          </w:p>
        </w:tc>
        <w:tc>
          <w:tcPr>
            <w:tcW w:type="dxa" w:w="1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5</w:t>
            </w:r>
          </w:p>
        </w:tc>
        <w:tc>
          <w:tcPr>
            <w:tcW w:type="dxa" w:w="1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20%</w:t>
            </w:r>
          </w:p>
        </w:tc>
      </w:tr>
      <w:tr>
        <w:tc>
          <w:tcPr>
            <w:tcW w:type="dxa" w:w="22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TOTAL</w:t>
            </w:r>
          </w:p>
        </w:tc>
        <w:tc>
          <w:tcPr>
            <w:tcW w:type="dxa" w:w="40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
            </w:r>
          </w:p>
        </w:tc>
        <w:tc>
          <w:tcPr>
            <w:tcW w:type="dxa" w:w="16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w:r>
          </w:p>
        </w:tc>
        <w:tc>
          <w:tcPr>
            <w:tcW w:type="dxa" w:w="1400"/>
            <w:gridSpan w:val="1"/>
            <w:tcBorders>
              <w:top w:val="single" w:color="AAAAAA" w:sz="6"/>
              <w:left w:val="single" w:color="AAAAAA" w:sz="6"/>
              <w:bottom w:val="single" w:color="AAAAAA" w:sz="6"/>
              <w:right w:val="single" w:color="AAAAAA" w:sz="6"/>
            </w:tcBorders>
            <w:shd w:fill="E8EAF6"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100%</w:t>
            </w:r>
          </w:p>
        </w:tc>
      </w:tr>
    </w:tbl>
    <w:p>
      <w:pPr>
        <w:spacing w:after="200" w:before="0"/>
      </w:pPr>
      <w:r>
        <w:t xml:space="preserve"/>
      </w:r>
    </w:p>
    <w:p>
      <w:pPr>
        <w:pBdr>
          <w:bottom w:val="single" w:color="1A237E" w:sz="8" w:space="4"/>
        </w:pBdr>
        <w:spacing w:after="120" w:before="300"/>
      </w:pPr>
      <w:r>
        <w:rPr>
          <w:rFonts w:ascii="Times New Roman" w:cs="Times New Roman" w:eastAsia="Times New Roman" w:hAnsi="Times New Roman"/>
          <w:b/>
          <w:bCs/>
          <w:caps/>
          <w:color w:val="1A237E"/>
          <w:sz w:val="28"/>
          <w:szCs w:val="28"/>
        </w:rPr>
        <w:t xml:space="preserve">J. ETIKA DAN TATA TERTIB PKL</w:t>
      </w:r>
    </w:p>
    <w:p>
      <w:pPr>
        <w:spacing w:after="80" w:before="200"/>
      </w:pPr>
      <w:r>
        <w:rPr>
          <w:rFonts w:ascii="Times New Roman" w:cs="Times New Roman" w:eastAsia="Times New Roman" w:hAnsi="Times New Roman"/>
          <w:b/>
          <w:bCs/>
          <w:color w:val="283593"/>
          <w:sz w:val="24"/>
          <w:szCs w:val="24"/>
        </w:rPr>
        <w:t xml:space="preserve">J.1 Kewajiban Mahasiswa</w:t>
      </w:r>
    </w:p>
    <w:p>
      <w:pPr>
        <w:pStyle w:val="ListParagraph"/>
        <w:numPr>
          <w:ilvl w:val="0"/>
          <w:numId w:val="2"/>
        </w:numPr>
        <w:spacing w:after="40" w:before="40"/>
      </w:pPr>
      <w:r>
        <w:rPr>
          <w:rFonts w:ascii="Times New Roman" w:cs="Times New Roman" w:eastAsia="Times New Roman" w:hAnsi="Times New Roman"/>
          <w:sz w:val="22"/>
          <w:szCs w:val="22"/>
        </w:rPr>
        <w:t xml:space="preserve">Hadir tepat waktu setiap hari kerja sesuai jam kerja institusi; mengajukan izin resmi jika berhalangan.</w:t>
      </w:r>
    </w:p>
    <w:p>
      <w:pPr>
        <w:pStyle w:val="ListParagraph"/>
        <w:numPr>
          <w:ilvl w:val="0"/>
          <w:numId w:val="2"/>
        </w:numPr>
        <w:spacing w:after="40" w:before="40"/>
      </w:pPr>
      <w:r>
        <w:rPr>
          <w:rFonts w:ascii="Times New Roman" w:cs="Times New Roman" w:eastAsia="Times New Roman" w:hAnsi="Times New Roman"/>
          <w:sz w:val="22"/>
          <w:szCs w:val="22"/>
        </w:rPr>
        <w:t xml:space="preserve">Berpakaian rapi dan sopan sesuai budaya institusi; bagi mahasiswi mengenakan jilbab dengan rapi.</w:t>
      </w:r>
    </w:p>
    <w:p>
      <w:pPr>
        <w:pStyle w:val="ListParagraph"/>
        <w:numPr>
          <w:ilvl w:val="0"/>
          <w:numId w:val="2"/>
        </w:numPr>
        <w:spacing w:after="40" w:before="40"/>
      </w:pPr>
      <w:r>
        <w:rPr>
          <w:rFonts w:ascii="Times New Roman" w:cs="Times New Roman" w:eastAsia="Times New Roman" w:hAnsi="Times New Roman"/>
          <w:sz w:val="22"/>
          <w:szCs w:val="22"/>
        </w:rPr>
        <w:t xml:space="preserve">Menjaga kerahasiaan informasi institusi (data nasabah, informasi internal) - pelanggaran mengakibatkan pemberhentian PKL dan nilai E.</w:t>
      </w:r>
    </w:p>
    <w:p>
      <w:pPr>
        <w:pStyle w:val="ListParagraph"/>
        <w:numPr>
          <w:ilvl w:val="0"/>
          <w:numId w:val="2"/>
        </w:numPr>
        <w:spacing w:after="40" w:before="40"/>
      </w:pPr>
      <w:r>
        <w:rPr>
          <w:rFonts w:ascii="Times New Roman" w:cs="Times New Roman" w:eastAsia="Times New Roman" w:hAnsi="Times New Roman"/>
          <w:sz w:val="22"/>
          <w:szCs w:val="22"/>
        </w:rPr>
        <w:t xml:space="preserve">Tidak melakukan aktivitas yang merugikan nama baik institusi atau STEI FI selama PKL.</w:t>
      </w:r>
    </w:p>
    <w:p>
      <w:pPr>
        <w:pStyle w:val="ListParagraph"/>
        <w:numPr>
          <w:ilvl w:val="0"/>
          <w:numId w:val="2"/>
        </w:numPr>
        <w:spacing w:after="40" w:before="40"/>
      </w:pPr>
      <w:r>
        <w:rPr>
          <w:rFonts w:ascii="Times New Roman" w:cs="Times New Roman" w:eastAsia="Times New Roman" w:hAnsi="Times New Roman"/>
          <w:sz w:val="22"/>
          <w:szCs w:val="22"/>
        </w:rPr>
        <w:t xml:space="preserve">Mengisi logbook setiap hari kerja tanpa terkecuali; logbook yang tidak lengkap mempengaruhi nilai.</w:t>
      </w:r>
    </w:p>
    <w:p>
      <w:pPr>
        <w:pStyle w:val="ListParagraph"/>
        <w:numPr>
          <w:ilvl w:val="0"/>
          <w:numId w:val="2"/>
        </w:numPr>
        <w:spacing w:after="40" w:before="40"/>
      </w:pPr>
      <w:r>
        <w:rPr>
          <w:rFonts w:ascii="Times New Roman" w:cs="Times New Roman" w:eastAsia="Times New Roman" w:hAnsi="Times New Roman"/>
          <w:sz w:val="22"/>
          <w:szCs w:val="22"/>
        </w:rPr>
        <w:t xml:space="preserve">Berkomunikasi secara santun dan profesional dengan seluruh staf institusi.</w:t>
      </w:r>
    </w:p>
    <w:p>
      <w:pPr>
        <w:pStyle w:val="ListParagraph"/>
        <w:numPr>
          <w:ilvl w:val="0"/>
          <w:numId w:val="2"/>
        </w:numPr>
        <w:spacing w:after="40" w:before="40"/>
      </w:pPr>
      <w:r>
        <w:rPr>
          <w:rFonts w:ascii="Times New Roman" w:cs="Times New Roman" w:eastAsia="Times New Roman" w:hAnsi="Times New Roman"/>
          <w:sz w:val="22"/>
          <w:szCs w:val="22"/>
        </w:rPr>
        <w:t xml:space="preserve">Menghindari penggunaan media sosial secara berlebihan selama jam kerja.</w:t>
      </w:r>
    </w:p>
    <w:p>
      <w:pPr>
        <w:spacing w:after="100" w:before="0"/>
      </w:pPr>
      <w:r>
        <w:t xml:space="preserve"/>
      </w:r>
    </w:p>
    <w:p>
      <w:pPr>
        <w:spacing w:after="80" w:before="200"/>
      </w:pPr>
      <w:r>
        <w:rPr>
          <w:rFonts w:ascii="Times New Roman" w:cs="Times New Roman" w:eastAsia="Times New Roman" w:hAnsi="Times New Roman"/>
          <w:b/>
          <w:bCs/>
          <w:color w:val="283593"/>
          <w:sz w:val="24"/>
          <w:szCs w:val="24"/>
        </w:rPr>
        <w:t xml:space="preserve">J.2 Etika Profesi Muslim di Lingkungan Kerja</w:t>
      </w:r>
    </w:p>
    <w:p>
      <w:pPr>
        <w:pStyle w:val="ListParagraph"/>
        <w:numPr>
          <w:ilvl w:val="0"/>
          <w:numId w:val="3"/>
        </w:numPr>
        <w:spacing w:after="40" w:before="40"/>
      </w:pPr>
      <w:r>
        <w:rPr>
          <w:rFonts w:ascii="Times New Roman" w:cs="Times New Roman" w:eastAsia="Times New Roman" w:hAnsi="Times New Roman"/>
          <w:sz w:val="22"/>
          <w:szCs w:val="22"/>
        </w:rPr>
        <w:t xml:space="preserve">Amanah: mengemban tugas dengan sungguh-sungguh dan dapat dipercaya.</w:t>
      </w:r>
    </w:p>
    <w:p>
      <w:pPr>
        <w:pStyle w:val="ListParagraph"/>
        <w:numPr>
          <w:ilvl w:val="0"/>
          <w:numId w:val="3"/>
        </w:numPr>
        <w:spacing w:after="40" w:before="40"/>
      </w:pPr>
      <w:r>
        <w:rPr>
          <w:rFonts w:ascii="Times New Roman" w:cs="Times New Roman" w:eastAsia="Times New Roman" w:hAnsi="Times New Roman"/>
          <w:sz w:val="22"/>
          <w:szCs w:val="22"/>
        </w:rPr>
        <w:t xml:space="preserve">Shiddiq: jujur dalam laporan dan tidak memalsukan data.</w:t>
      </w:r>
    </w:p>
    <w:p>
      <w:pPr>
        <w:pStyle w:val="ListParagraph"/>
        <w:numPr>
          <w:ilvl w:val="0"/>
          <w:numId w:val="3"/>
        </w:numPr>
        <w:spacing w:after="40" w:before="40"/>
      </w:pPr>
      <w:r>
        <w:rPr>
          <w:rFonts w:ascii="Times New Roman" w:cs="Times New Roman" w:eastAsia="Times New Roman" w:hAnsi="Times New Roman"/>
          <w:sz w:val="22"/>
          <w:szCs w:val="22"/>
        </w:rPr>
        <w:t xml:space="preserve">Itqan: mengerjakan setiap tugas dengan kualitas terbaik.</w:t>
      </w:r>
    </w:p>
    <w:p>
      <w:pPr>
        <w:pStyle w:val="ListParagraph"/>
        <w:numPr>
          <w:ilvl w:val="0"/>
          <w:numId w:val="3"/>
        </w:numPr>
        <w:spacing w:after="40" w:before="40"/>
      </w:pPr>
      <w:r>
        <w:rPr>
          <w:rFonts w:ascii="Times New Roman" w:cs="Times New Roman" w:eastAsia="Times New Roman" w:hAnsi="Times New Roman"/>
          <w:sz w:val="22"/>
          <w:szCs w:val="22"/>
        </w:rPr>
        <w:t xml:space="preserve">Menghormati: menghargai atasan, rekan kerja, dan semua pihak tanpa membedakan.</w:t>
      </w:r>
    </w:p>
    <w:p>
      <w:pPr>
        <w:pStyle w:val="ListParagraph"/>
        <w:numPr>
          <w:ilvl w:val="0"/>
          <w:numId w:val="3"/>
        </w:numPr>
        <w:spacing w:after="40" w:before="40"/>
      </w:pPr>
      <w:r>
        <w:rPr>
          <w:rFonts w:ascii="Times New Roman" w:cs="Times New Roman" w:eastAsia="Times New Roman" w:hAnsi="Times New Roman"/>
          <w:sz w:val="22"/>
          <w:szCs w:val="22"/>
        </w:rPr>
        <w:t xml:space="preserve">Inisiatif: proaktif mencari tugas dan tidak menunggu perintah saja.</w:t>
      </w:r>
    </w:p>
    <w:p>
      <w:pPr>
        <w:spacing w:after="100" w:before="0"/>
      </w:pPr>
      <w:r>
        <w:t xml:space="preserve"/>
      </w:r>
    </w:p>
    <w:p>
      <w:pPr>
        <w:spacing w:after="80" w:before="200"/>
      </w:pPr>
      <w:r>
        <w:rPr>
          <w:rFonts w:ascii="Times New Roman" w:cs="Times New Roman" w:eastAsia="Times New Roman" w:hAnsi="Times New Roman"/>
          <w:b/>
          <w:bCs/>
          <w:color w:val="283593"/>
          <w:sz w:val="24"/>
          <w:szCs w:val="24"/>
        </w:rPr>
        <w:t xml:space="preserve">J.3 Sanksi</w:t>
      </w:r>
    </w:p>
    <w:p>
      <w:pPr>
        <w:pStyle w:val="ListParagraph"/>
        <w:numPr>
          <w:ilvl w:val="0"/>
          <w:numId w:val="2"/>
        </w:numPr>
        <w:spacing w:after="40" w:before="40"/>
      </w:pPr>
      <w:r>
        <w:rPr>
          <w:rFonts w:ascii="Times New Roman" w:cs="Times New Roman" w:eastAsia="Times New Roman" w:hAnsi="Times New Roman"/>
          <w:sz w:val="22"/>
          <w:szCs w:val="22"/>
        </w:rPr>
        <w:t xml:space="preserve">Ketidakhadiran tanpa izin lebih dari 3 hari: diperingatkan oleh dosen pembimbing.</w:t>
      </w:r>
    </w:p>
    <w:p>
      <w:pPr>
        <w:pStyle w:val="ListParagraph"/>
        <w:numPr>
          <w:ilvl w:val="0"/>
          <w:numId w:val="2"/>
        </w:numPr>
        <w:spacing w:after="40" w:before="40"/>
      </w:pPr>
      <w:r>
        <w:rPr>
          <w:rFonts w:ascii="Times New Roman" w:cs="Times New Roman" w:eastAsia="Times New Roman" w:hAnsi="Times New Roman"/>
          <w:sz w:val="22"/>
          <w:szCs w:val="22"/>
        </w:rPr>
        <w:t xml:space="preserve">Ketidakhadiran tanpa izin lebih dari 5 hari atau pelanggaran etika serius: PKL dinyatakan tidak lulus dan mahasiswa wajib mengulang pada periode berikutnya.</w:t>
      </w:r>
    </w:p>
    <w:p>
      <w:pPr>
        <w:pStyle w:val="ListParagraph"/>
        <w:numPr>
          <w:ilvl w:val="0"/>
          <w:numId w:val="2"/>
        </w:numPr>
        <w:spacing w:after="40" w:before="40"/>
      </w:pPr>
      <w:r>
        <w:rPr>
          <w:rFonts w:ascii="Times New Roman" w:cs="Times New Roman" w:eastAsia="Times New Roman" w:hAnsi="Times New Roman"/>
          <w:sz w:val="22"/>
          <w:szCs w:val="22"/>
        </w:rPr>
        <w:t xml:space="preserve">Pemalsuan data dalam laporan atau logbook: nilai E dan dilaporkan ke WK I.</w:t>
      </w:r>
    </w:p>
    <w:p>
      <w:pPr>
        <w:spacing w:after="200" w:before="0"/>
      </w:pPr>
      <w:r>
        <w:t xml:space="preserve"/>
      </w:r>
    </w:p>
    <w:p>
      <w:pPr>
        <w:pBdr>
          <w:bottom w:val="single" w:color="1A237E" w:sz="8" w:space="4"/>
        </w:pBdr>
        <w:spacing w:after="120" w:before="300"/>
      </w:pPr>
      <w:r>
        <w:rPr>
          <w:rFonts w:ascii="Times New Roman" w:cs="Times New Roman" w:eastAsia="Times New Roman" w:hAnsi="Times New Roman"/>
          <w:b/>
          <w:bCs/>
          <w:caps/>
          <w:color w:val="1A237E"/>
          <w:sz w:val="28"/>
          <w:szCs w:val="28"/>
        </w:rPr>
        <w:t xml:space="preserve">K. KONVERSI NILAI</w:t>
      </w:r>
    </w:p>
    <w:p>
      <w:pPr>
        <w:spacing w:after="8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tblGrid>
      <w:tr>
        <w:tc>
          <w:tcPr>
            <w:tcW w:type="dxa" w:w="15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Angka</w:t>
            </w:r>
          </w:p>
        </w:tc>
        <w:tc>
          <w:tcPr>
            <w:tcW w:type="dxa" w:w="15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Huruf</w:t>
            </w:r>
          </w:p>
        </w:tc>
        <w:tc>
          <w:tcPr>
            <w:tcW w:type="dxa" w:w="15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Mutu</w:t>
            </w:r>
          </w:p>
        </w:tc>
        <w:tc>
          <w:tcPr>
            <w:tcW w:type="dxa" w:w="1500"/>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Keterangan</w:t>
            </w:r>
          </w:p>
        </w:tc>
      </w:tr>
      <w:tr>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85-100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A</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4,0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Sangat Memuaskan</w:t>
            </w:r>
          </w:p>
        </w:tc>
      </w:tr>
      <w:tr>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80-84</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A-</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3,7</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Sangat Memuaskan</w:t>
            </w:r>
          </w:p>
        </w:tc>
      </w:tr>
      <w:tr>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75-79</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3,3</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Memuaskan</w:t>
            </w:r>
          </w:p>
        </w:tc>
      </w:tr>
      <w:tr>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70-74</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3,0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Memuaskan</w:t>
            </w:r>
          </w:p>
        </w:tc>
      </w:tr>
      <w:tr>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65-69</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2,7</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Cukup Memuaskan</w:t>
            </w:r>
          </w:p>
        </w:tc>
      </w:tr>
      <w:tr>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60-64</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C+</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2,3</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Cukup</w:t>
            </w:r>
          </w:p>
        </w:tc>
      </w:tr>
      <w:tr>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55-59</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C</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Cukup</w:t>
            </w:r>
          </w:p>
        </w:tc>
      </w:tr>
      <w:tr>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45-54</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D</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Kurang</w:t>
            </w:r>
          </w:p>
        </w:tc>
      </w:tr>
      <w:tr>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0-44</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E</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0,0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Tidak Lulus</w:t>
            </w:r>
          </w:p>
        </w:tc>
      </w:tr>
    </w:tbl>
    <w:p>
      <w:pPr>
        <w:spacing w:after="200" w:before="0"/>
      </w:pPr>
      <w:r>
        <w:t xml:space="preserve"/>
      </w:r>
    </w:p>
    <w:p>
      <w:pPr>
        <w:pBdr>
          <w:bottom w:val="single" w:color="1A237E" w:sz="8" w:space="4"/>
        </w:pBdr>
        <w:spacing w:after="120" w:before="300"/>
      </w:pPr>
      <w:r>
        <w:rPr>
          <w:rFonts w:ascii="Times New Roman" w:cs="Times New Roman" w:eastAsia="Times New Roman" w:hAnsi="Times New Roman"/>
          <w:b/>
          <w:bCs/>
          <w:caps/>
          <w:color w:val="1A237E"/>
          <w:sz w:val="28"/>
          <w:szCs w:val="28"/>
        </w:rPr>
        <w:t xml:space="preserve">L. LEMBAR PENGESAHAN</w:t>
      </w:r>
    </w:p>
    <w:p>
      <w:pPr>
        <w:spacing w:after="80" w:before="0"/>
      </w:pPr>
      <w:r>
        <w:t xml:space="preserve"/>
      </w:r>
    </w:p>
    <w:p>
      <w:pPr>
        <w:spacing w:after="80" w:before="60"/>
        <w:jc w:val="both"/>
      </w:pPr>
      <w:r>
        <w:rPr>
          <w:rFonts w:ascii="Times New Roman" w:cs="Times New Roman" w:eastAsia="Times New Roman" w:hAnsi="Times New Roman"/>
          <w:color w:val="000000"/>
          <w:sz w:val="22"/>
          <w:szCs w:val="22"/>
        </w:rPr>
        <w:t xml:space="preserve">Rencana Pembelajaran Semester (RPS) Praktik Kerja Lapangan (PKL) / Magang ini telah disusun sesuai Permendikbud No. 3 Tahun 2020 (SN-DIKTI), Permendikbud No. 22 Tahun 2020 tentang MBKM, Panduan PKL STEI Fitrah Insani, dan Statuta STEI FI, serta disahkan untuk diberlakukan pada Semester VI Tahun Akademik 2025/2026.</w:t>
      </w:r>
    </w:p>
    <w:p>
      <w:pPr>
        <w:spacing w:after="100" w:before="80"/>
        <w:jc w:val="right"/>
      </w:pPr>
      <w:r>
        <w:rPr>
          <w:rFonts w:ascii="Times New Roman" w:cs="Times New Roman" w:eastAsia="Times New Roman" w:hAnsi="Times New Roman"/>
          <w:sz w:val="22"/>
          <w:szCs w:val="22"/>
        </w:rPr>
        <w:t xml:space="preserve">Bandung Barat, Januari 2026</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7"/>
        <w:gridCol w:w="3067"/>
      </w:tblGrid>
      <w:tr>
        <w:tc>
          <w:tcPr>
            <w:tcW w:type="dxa" w:w="3066"/>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Disusun oleh</w:t>
            </w:r>
          </w:p>
        </w:tc>
        <w:tc>
          <w:tcPr>
            <w:tcW w:type="dxa" w:w="3067"/>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Diperiksa oleh</w:t>
            </w:r>
          </w:p>
        </w:tc>
        <w:tc>
          <w:tcPr>
            <w:tcW w:type="dxa" w:w="3067"/>
            <w:gridSpan w:val="1"/>
            <w:tcBorders>
              <w:top w:val="single" w:color="AAAAAA" w:sz="6"/>
              <w:left w:val="single" w:color="AAAAAA" w:sz="6"/>
              <w:bottom w:val="single" w:color="AAAAAA" w:sz="6"/>
              <w:right w:val="single" w:color="AAAAAA" w:sz="6"/>
            </w:tcBorders>
            <w:shd w:fill="1A237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Disahkan oleh</w:t>
            </w:r>
          </w:p>
        </w:tc>
      </w:tr>
      <w:tr>
        <w:tc>
          <w:tcPr>
            <w:tcW w:type="dxa" w:w="3066"/>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Koordinator PKL</w:t>
            </w:r>
          </w:p>
          <w:p>
            <w:pPr>
              <w:spacing w:after="400" w:before="0"/>
            </w:pPr>
            <w:r>
              <w:rPr>
                <w:sz w:val="22"/>
                <w:szCs w:val="22"/>
              </w:rPr>
              <w:t xml:space="preserve"/>
            </w:r>
          </w:p>
          <w:p>
            <w:pPr>
              <w:spacing w:after="40" w:before="0"/>
            </w:pPr>
            <w:r>
              <w:rPr>
                <w:rFonts w:ascii="Times New Roman" w:cs="Times New Roman" w:eastAsia="Times New Roman" w:hAnsi="Times New Roman"/>
                <w:b/>
                <w:bCs/>
                <w:color w:val="1A237E"/>
                <w:sz w:val="22"/>
                <w:szCs w:val="22"/>
              </w:rPr>
              <w:t xml:space="preserve">Program Studi STEI Fitrah Insani</w:t>
            </w:r>
          </w:p>
          <w:p>
            <w:r>
              <w:rPr>
                <w:rFonts w:ascii="Times New Roman" w:cs="Times New Roman" w:eastAsia="Times New Roman" w:hAnsi="Times New Roman"/>
                <w:sz w:val="20"/>
                <w:szCs w:val="20"/>
              </w:rPr>
              <w:t xml:space="preserve">NIDN: _______________</w:t>
            </w:r>
          </w:p>
        </w:tc>
        <w:tc>
          <w:tcPr>
            <w:tcW w:type="dxa" w:w="3067"/>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Ketua Program Studi</w:t>
            </w:r>
          </w:p>
          <w:p>
            <w:pPr>
              <w:spacing w:after="400" w:before="0"/>
            </w:pPr>
            <w:r>
              <w:rPr>
                <w:sz w:val="22"/>
                <w:szCs w:val="22"/>
              </w:rPr>
              <w:t xml:space="preserve"/>
            </w:r>
          </w:p>
          <w:p>
            <w:pPr>
              <w:spacing w:after="40" w:before="0"/>
            </w:pPr>
            <w:r>
              <w:rPr>
                <w:rFonts w:ascii="Times New Roman" w:cs="Times New Roman" w:eastAsia="Times New Roman" w:hAnsi="Times New Roman"/>
                <w:b/>
                <w:bCs/>
                <w:color w:val="1A237E"/>
                <w:sz w:val="22"/>
                <w:szCs w:val="22"/>
              </w:rPr>
              <w:t xml:space="preserve">Nila Nopianti, S.E.Sy., M.E.</w:t>
            </w:r>
          </w:p>
          <w:p>
            <w:r>
              <w:rPr>
                <w:rFonts w:ascii="Times New Roman" w:cs="Times New Roman" w:eastAsia="Times New Roman" w:hAnsi="Times New Roman"/>
                <w:sz w:val="20"/>
                <w:szCs w:val="20"/>
              </w:rPr>
              <w:t xml:space="preserve">NIDN: _______________</w:t>
            </w:r>
          </w:p>
        </w:tc>
        <w:tc>
          <w:tcPr>
            <w:tcW w:type="dxa" w:w="3067"/>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Wakil Ketua I Bidang Akademik</w:t>
            </w:r>
          </w:p>
          <w:p>
            <w:pPr>
              <w:spacing w:after="400" w:before="0"/>
            </w:pPr>
            <w:r>
              <w:rPr>
                <w:sz w:val="22"/>
                <w:szCs w:val="22"/>
              </w:rPr>
              <w:t xml:space="preserve"/>
            </w:r>
          </w:p>
          <w:p>
            <w:pPr>
              <w:spacing w:after="40" w:before="0"/>
            </w:pPr>
            <w:r>
              <w:rPr>
                <w:rFonts w:ascii="Times New Roman" w:cs="Times New Roman" w:eastAsia="Times New Roman" w:hAnsi="Times New Roman"/>
                <w:b/>
                <w:bCs/>
                <w:color w:val="1A237E"/>
                <w:sz w:val="22"/>
                <w:szCs w:val="22"/>
              </w:rPr>
              <w:t xml:space="preserve">Izzuddin Edi Siswanto, Lc., M.A.</w:t>
            </w:r>
          </w:p>
          <w:p>
            <w:r>
              <w:rPr>
                <w:rFonts w:ascii="Times New Roman" w:cs="Times New Roman" w:eastAsia="Times New Roman" w:hAnsi="Times New Roman"/>
                <w:sz w:val="20"/>
                <w:szCs w:val="20"/>
              </w:rPr>
              <w:t xml:space="preserve">NIDN: _______________</w:t>
            </w:r>
          </w:p>
        </w:tc>
      </w:tr>
    </w:tbl>
    <w:p>
      <w:pPr>
        <w:spacing w:after="200" w:before="0"/>
      </w:pPr>
      <w:r>
        <w:t xml:space="preserve"/>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37E" w:sz="4" w:space="4"/>
      </w:pBdr>
      <w:spacing w:after="0" w:before="60"/>
      <w:jc w:val="center"/>
    </w:pPr>
    <w:r>
      <w:rPr>
        <w:rFonts w:ascii="Times New Roman" w:cs="Times New Roman" w:eastAsia="Times New Roman" w:hAnsi="Times New Roman"/>
        <w:color w:val="555555"/>
        <w:sz w:val="18"/>
        <w:szCs w:val="18"/>
      </w:rPr>
      <w:t xml:space="preserve">Halaman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color w:val="555555"/>
        <w:sz w:val="18"/>
        <w:szCs w:val="18"/>
      </w:rPr>
      <w:t xml:space="preserve"> dari </w:t>
    </w:r>
    <w:r>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6" w:space="4"/>
      </w:pBdr>
      <w:spacing w:after="60" w:before="0"/>
      <w:jc w:val="right"/>
    </w:pPr>
    <w:r>
      <w:rPr>
        <w:rFonts w:ascii="Times New Roman" w:cs="Times New Roman" w:eastAsia="Times New Roman" w:hAnsi="Times New Roman"/>
        <w:color w:val="283593"/>
        <w:sz w:val="18"/>
        <w:szCs w:val="18"/>
      </w:rPr>
      <w:t xml:space="preserve">RPS | PKL / Magang | MKU11102/12102 | STEI Fitrah Insani | TA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2026-06-08T07:34:29.504Z</dcterms:created>
  <dcterms:modified xsi:type="dcterms:W3CDTF">2026-06-08T07:34:29.504Z</dcterms:modified>
</cp:coreProperties>
</file>

<file path=docProps/custom.xml><?xml version="1.0" encoding="utf-8"?>
<Properties xmlns="http://schemas.openxmlformats.org/officeDocument/2006/custom-properties" xmlns:vt="http://schemas.openxmlformats.org/officeDocument/2006/docPropsVTypes"/>
</file>