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SK KETUA TENTANG PENETAPAN STANDAR SPMI</w:t>
      </w:r>
    </w:p>
    <w:p>
      <w:pPr>
        <w:spacing w:after="160"/>
        <w:jc w:val="center"/>
      </w:pPr>
      <w:r>
        <w:rPr>
          <w:color w:val="555555"/>
          <w:sz w:val="18"/>
        </w:rPr>
        <w:t>Kode: F-LPM-01-03   |   Jenis: SK / Surat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STANDAR SISTEM PENJAMINAN MUTU INTERNAL (SPMI)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Menimbang: a. bahwa Permendikbud No. 53 Tahun 2023 dan SN-Dikti mengamanatkan setiap perguruan tinggi memiliki SPMI;</w:t>
        <w:br/>
        <w:t xml:space="preserve">              b. bahwa LPM telah menyusun dokumen standar SPMI secara komprehensif;</w:t>
        <w:br/>
        <w:t xml:space="preserve">              c. bahwa standar tersebut perlu ditetapkan secara formal agar mengikat seluruh unit.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Mengingat: 1. Statuta STEI FI Pasal 84–90 (LPM); 2. Permendikbud No. 53 Tahun 2023; 3. SN-Dikti (Permendikbud No. 3 Tahun 2020).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MEMUTUSKAN — MENETAPKAN: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50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</w:t>
            </w:r>
          </w:p>
        </w:tc>
        <w:tc>
          <w:tcPr>
            <w:tcW w:type="dxa" w:w="85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Menetapkan Standar SPMI STEI Fitrah Insani Edisi _____ sebagaimana terlampir, terdiri atas 24 standar mutu.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unit wajib melaksanakan standar yang berlaku sesuai bidang tugas masing-masing.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</w:t>
            </w:r>
          </w:p>
        </w:tc>
        <w:tc>
          <w:tcPr>
            <w:tcW w:type="dxa" w:w="85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bertugas mengkoordinasikan implementasi, pemantauan, dan evaluasi pemenuhan standar.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ini ditinjau dan direvisi paling lambat 4 tahun sekali atau bilamana ada perubahan regulasi.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</w:t>
            </w:r>
          </w:p>
        </w:tc>
        <w:tc>
          <w:tcPr>
            <w:tcW w:type="dxa" w:w="85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ini berlaku sejak tanggal ditetapkan; SK terdahulu yang bertentangan dinyatakan tidak berlaku.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Ditetapkan di  : Bandung Barat</w:t>
        <w:br/>
        <w:t>Pada tanggal   :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