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SK KETUA TENTANG TIM AUDITOR AMI</w:t>
      </w:r>
    </w:p>
    <w:p>
      <w:pPr>
        <w:spacing w:after="160"/>
        <w:jc w:val="center"/>
      </w:pPr>
      <w:r>
        <w:rPr>
          <w:color w:val="555555"/>
          <w:sz w:val="18"/>
        </w:rPr>
        <w:t>Kode: F-LPM-04-02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TIM AUDITOR AUDIT MUTU INTERNAL (AMI)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SIKLUS AMI SEMESTER _____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Auditor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 dalam AMI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yang Diaudit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Auditor Utama</w:t>
              <w:br/>
              <w:t>☐ Auditor Pendamping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Ketentuan Auditor AMI: (1) Tidak mengaudit unit yang menjadi tanggung jawab sendiri (prinsip independen); (2) Telah mengikuti pelatihan AMI internal; (3) Menjaga kerahasiaan informasi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