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TAHUNAN LPPM KEPADA SENAT DAN PIMPINAN</w:t>
      </w:r>
    </w:p>
    <w:p>
      <w:pPr>
        <w:spacing w:after="160"/>
        <w:jc w:val="center"/>
      </w:pPr>
      <w:r>
        <w:rPr>
          <w:color w:val="555555"/>
          <w:sz w:val="18"/>
        </w:rPr>
        <w:t>Kode: F-LPPM-01-09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Senat STEI FI + Ketua + Yayasan Fithrah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Kinerja LPPM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RIP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TA Ini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Tren vs TA Lalu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penelitian internal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PKM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 nasional Sinta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 internasional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 terdaftar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Hibah eksternal yang diperoleh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penelitian eksternal (Rp)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Stabil</w:t>
              <w:br/>
              <w:t>☐ Turun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HIGHLIGHT DAN PENCAPAIAN TERBAIK TA INI: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PROGRAM PRIORITAS TA BERIKUTNYA: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