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KEUANGAN TAHUNAN UNTUK YAYASAN</w:t>
      </w:r>
    </w:p>
    <w:p>
      <w:pPr>
        <w:spacing w:after="160"/>
        <w:jc w:val="center"/>
      </w:pPr>
      <w:r>
        <w:rPr>
          <w:color w:val="555555"/>
          <w:sz w:val="18"/>
        </w:rPr>
        <w:t>Kode: F-WK2-04-05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Anggaran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Januari tahun berikutnya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Yayasan Fithrah Insani Indonesia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Format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Sesuai permintaan Yayasan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LAPORAN POSISI KEUANGAN (NERACA)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ASET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(Rp)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KEWAJIBAN &amp; EKUITAS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(Rp)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Kas dan Setara Kas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Hutang Operasional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Piutang Mahasiswa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Hutang Lainnya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Aset Tetap (net)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Ekuitas Dana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Aset Lainnya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ASET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KEWAJIBAN + EKUITAS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LAPORAN AKTIVITAS (LABA RUGI)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(Rp)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Pendapatan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Beban / Pengeluaran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Surplus / (Defisit)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F-WK2-04-05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F-WK2-04-05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