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FORM PENILAIAN MAGANG OLEH PEMBIMBING LAPANGAN</w:t>
      </w:r>
    </w:p>
    <w:p>
      <w:pPr>
        <w:spacing w:after="160"/>
        <w:jc w:val="center"/>
      </w:pPr>
      <w:r>
        <w:rPr>
          <w:color w:val="555555"/>
          <w:sz w:val="18"/>
        </w:rPr>
        <w:t>Kode: F-WK3-07-06   |   Jenis: Instrumen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 Magang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Pembimbing Lapangan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Magang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Penilaian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(1–5)</w:t>
            </w:r>
          </w:p>
        </w:tc>
        <w:tc>
          <w:tcPr>
            <w:tcW w:type="dxa" w:w="357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Kedisiplinan (kehadiran, ketepatan waktu)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7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Penguasaan materi dan kemampuan teknis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komunikasi dan bekerja sama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7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Inisiatif dan kreativitas dalam menyelesaikan tugas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Sikap dan etika islami dalam bekerja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7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laporan kegiatan harian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7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Skala: 1=Sangat Kurang, 2=Kurang, 3=Cukup, 4=Baik, 5=Sangat Baik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Akhir Magang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 (86–100) — Sangat Memuaskan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 (71–85) — Memuaskan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 (56–70) — Cukup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 (&lt; 55) — Kurang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Rekomendasi untuk STEI Fitrah Insani:</w:t>
      </w:r>
    </w:p>
    <w:p>
      <w:r>
        <w:t>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Pembimbing Lapangan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F-WK3-07-06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F-WK3-07-06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