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HASIL TRACER STUDY TAHUNAN</w:t>
      </w:r>
    </w:p>
    <w:p>
      <w:pPr>
        <w:spacing w:after="160"/>
        <w:jc w:val="center"/>
      </w:pPr>
      <w:r>
        <w:rPr>
          <w:color w:val="555555"/>
          <w:sz w:val="18"/>
        </w:rPr>
        <w:t>Kode: F-WK3-08-03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Tracer Study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20_____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 yang Di-tracer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Lulusan 20___  s.d.  20___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Responden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dari _____  alumni  (response rate: _____  %)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Kaprodi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PROFIL ALUMNI YANG MERESPONS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623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lulusan yang dikontak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Responden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orang  (_____  %)</w:t>
            </w:r>
          </w:p>
        </w:tc>
      </w:tr>
      <w:tr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Asal prodi responden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ES: _____  |  PS: 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kelulusan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20___  s.d.  20___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STATUS KETENAGAKERJAAN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Bekerja penuh waktu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Bekerja paruh waktu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Wirausaha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Melanjutkan studi S2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Belum bekerja / mencari kerja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RELEVANSI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relevan dengan bidang studi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Kurang relevan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relevan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D. MASA TUNGGU KERJA RATA-RATA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Tunggu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3 bulan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3–6 bulan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6–12 bulan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&gt; 1 tahun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masa tunggu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bulan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E. KEPUASAN DAN REKOMENDASI ALUMNI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Rata-rata (1–5)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pengajaran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kurikulum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Fasilitas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Layanan kemahasiswaan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KEPUASAN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F. REKOMENDASI UNTUK PENGEMBANGAN KURIKULUM DAN LAYANAN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 + 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