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0"/>
      </w:pPr>
      <w:r/>
    </w:p>
    <w:p>
      <w:pPr>
        <w:spacing w:after="200"/>
        <w:jc w:val="center"/>
      </w:pPr>
      <w:r>
        <w:rPr>
          <w:b/>
          <w:sz w:val="32"/>
        </w:rPr>
        <w:t>MODUL PEMBELAJARAN</w:t>
      </w:r>
    </w:p>
    <w:p>
      <w:pPr>
        <w:pStyle w:val="Title"/>
        <w:spacing w:after="480"/>
        <w:jc w:val="center"/>
      </w:pPr>
      <w:r>
        <w:t>PASAR MODAL DAN INVESTASI SYARIAH</w:t>
      </w:r>
    </w:p>
    <w:p>
      <w:pPr>
        <w:spacing w:after="120"/>
        <w:jc w:val="center"/>
      </w:pPr>
      <w:r>
        <w:rPr>
          <w:sz w:val="24"/>
        </w:rPr>
        <w:t>Mata Kuliah MKI11321 | 2 SKS | Semester V</w:t>
      </w:r>
    </w:p>
    <w:p>
      <w:pPr>
        <w:spacing w:after="120"/>
        <w:jc w:val="center"/>
      </w:pPr>
      <w:r>
        <w:rPr>
          <w:sz w:val="24"/>
        </w:rPr>
        <w:t>Program Studi Ekonomi Syariah &amp; Perbankan Syariah</w:t>
      </w:r>
    </w:p>
    <w:p>
      <w:pPr>
        <w:spacing w:after="120"/>
        <w:jc w:val="center"/>
      </w:pPr>
      <w:r>
        <w:rPr>
          <w:b/>
          <w:sz w:val="24"/>
        </w:rPr>
        <w:t>Sekolah Tinggi Ekonomi Islam (STEI) Fitrah Insani</w:t>
      </w:r>
    </w:p>
    <w:p>
      <w:pPr>
        <w:spacing w:after="480"/>
        <w:jc w:val="center"/>
      </w:pPr>
      <w:r>
        <w:rPr>
          <w:sz w:val="24"/>
        </w:rPr>
        <w:t>Tahun Akademik 2026/2027</w:t>
      </w:r>
    </w:p>
    <w:p>
      <w:pPr>
        <w:spacing w:after="120"/>
        <w:jc w:val="center"/>
      </w:pPr>
      <w:r>
        <w:rPr>
          <w:sz w:val="22"/>
        </w:rPr>
        <w:t>Penyusun: Izzuddin Edi Siswanto, Lc., M.A.</w:t>
      </w:r>
    </w:p>
    <w:p>
      <w:r>
        <w:br w:type="page"/>
      </w:r>
    </w:p>
    <w:p>
      <w:pPr>
        <w:pStyle w:val="Heading1"/>
        <w:spacing w:after="120"/>
      </w:pPr>
      <w:r>
        <w:t>DAFTAR ISI</w:t>
      </w:r>
    </w:p>
    <w:p>
      <w:fldSimple w:instr="TOC \o &quot;1-2&quot; \h \z \u">
        <w:r>
          <w:t>Klik kanan → Update Field untuk memunculkan daftar isi otomatis.</w:t>
        </w:r>
      </w:fldSimple>
    </w:p>
    <w:p>
      <w:r>
        <w:br w:type="page"/>
      </w:r>
    </w:p>
    <w:p>
      <w:pPr>
        <w:pStyle w:val="Heading1"/>
        <w:spacing w:after="120"/>
      </w:pPr>
      <w:r>
        <w:t>PENGANTAR</w:t>
      </w:r>
    </w:p>
    <w:p>
      <w:pPr>
        <w:spacing w:after="120"/>
      </w:pPr>
      <w:r>
        <w:t>Pasar modal syariah telah berkembang menjadi segmen penting dalam ekosistem keuangan Islam global. Modul pembelajaran ini dirancang untuk membekali mahasiswa Program Studi Ekonomi Syariah dan Perbankan Syariah dengan pengetahuan komprehensif tentang pasar modal syariah Indonesia dan global, mencakup konsep fundamental, regulasi, instrumen investasi, teknik analisis, hingga terapan praktis dalam konstruksi portofolio investasi halal.</w:t>
      </w:r>
    </w:p>
    <w:p>
      <w:pPr>
        <w:spacing w:after="120"/>
      </w:pPr>
      <w:r>
        <w:t>Modul ini terdiri dari 15 pertemuan yang terstruktur mengikuti Rencana Pembelajaran Semester (RPS) resmi MKI11321, dengan integrasi mendalam dari tiga sumber enrichment utama: Workshop Saham Syariah IFBTC (Izzuddin Edi Siswanto), Presentasi DSN-MUI &amp; OJK Fintech (Nov 2019), dan Strategi Investasi Reksa Dana Syariah (Rudiyanto, Panin AM). Setiap modul menyediakan materi uraian komprehensif (2,500-3,000 kata), studi kasus real, dan aktivitas pembelajaran praktis yang langsung applicable dalam pasar modal syariah Indonesia.</w:t>
      </w:r>
    </w:p>
    <w:p>
      <w:pPr>
        <w:spacing w:after="120"/>
      </w:pPr>
      <w:r>
        <w:t>Pendekatan pembelajaran menggunakan Student-Centered Learning (SCL) yang mengedepankan partisipasi aktif mahasiswa melalui diskusi, praktikum dengan tools real (spreadsheet, simulator, platform trading), simulasi investasi, dan penyusunan proposal portofolio investasi sebagai projek akhir semester (UAS). Target luaran: mahasiswa mampu melakukan screening syariah, analisis fundamental &amp; teknikal, dan konstruksi portofolio terdiversifikasi sesuai profil risiko, dengan komitmen penuh terhadap prinsip syariah Islam.</w:t>
      </w:r>
    </w:p>
    <w:p>
      <w:pPr>
        <w:spacing w:after="120"/>
      </w:pPr>
      <w:r>
        <w:t>Semoga modul ini bermanfaat bagi mahasiswa dalam mengembangkan kompetensi investasi syariah yang kuat dan menjadi profesional jasa keuangan syariah yang amanah, jujur, dan bertanggung jawab dalam kontribusi terhadap pembangunan ekonomi islam Indonesia.</w:t>
      </w:r>
    </w:p>
    <w:p>
      <w:pPr>
        <w:spacing w:after="40"/>
      </w:pPr>
      <w:r/>
    </w:p>
    <w:p>
      <w:pPr>
        <w:spacing w:after="120"/>
      </w:pPr>
      <w:r>
        <w:t>Bandung Barat, Agustus 2026</w:t>
      </w:r>
    </w:p>
    <w:p>
      <w:pPr>
        <w:spacing w:after="720"/>
      </w:pPr>
      <w:r>
        <w:t>Penyusun,</w:t>
      </w:r>
    </w:p>
    <w:p>
      <w:pPr>
        <w:spacing w:after="40"/>
      </w:pPr>
      <w:r>
        <w:rPr>
          <w:b/>
        </w:rPr>
        <w:t>Izzuddin Edi Siswanto, Lc., M.A.</w:t>
      </w:r>
    </w:p>
    <w:p>
      <w:pPr>
        <w:spacing w:after="120"/>
      </w:pPr>
      <w:r>
        <w:t>Wakil Ketua I Bidang Akademik STEI Fitrah Insani</w:t>
      </w:r>
    </w:p>
    <w:p>
      <w:r>
        <w:br w:type="page"/>
      </w:r>
    </w:p>
    <w:p>
      <w:pPr>
        <w:pStyle w:val="Heading1"/>
        <w:spacing w:after="120"/>
      </w:pPr>
      <w:r>
        <w:t>Modul 1-2: Pengantar Pasar Modal Syariah &amp; Regulasi</w:t>
      </w:r>
    </w:p>
    <w:p>
      <w:pPr>
        <w:spacing w:after="120"/>
      </w:pPr>
      <w:r>
        <w:t>Capaian Pembelajaran: Mahasiswa mampu menjelaskan landasan filosofis, historis, dan syar'i pasar modal syariah serta membedakan mekanisme pasar modal syariah dan konvensional.</w:t>
      </w:r>
    </w:p>
    <w:p>
      <w:pPr>
        <w:pStyle w:val="Heading3"/>
        <w:spacing w:after="120"/>
      </w:pPr>
      <w:r>
        <w:t>Sejarah Perkembangan Pasar Modal Syariah Indonesia</w:t>
      </w:r>
    </w:p>
    <w:p>
      <w:pPr>
        <w:pStyle w:val="ListParagraph"/>
        <w:spacing w:after="40"/>
      </w:pPr>
      <w:r>
        <w:t>• 1997: PT Danareksa meluncurkan Reksa Dana Syariah pertama</w:t>
      </w:r>
    </w:p>
    <w:p>
      <w:pPr>
        <w:pStyle w:val="ListParagraph"/>
        <w:spacing w:after="40"/>
      </w:pPr>
      <w:r>
        <w:t>• 2000: Peluncuran Jakarta Islamic Index (JII) dengan 30 saham syariah terpilih</w:t>
      </w:r>
    </w:p>
    <w:p>
      <w:pPr>
        <w:pStyle w:val="ListParagraph"/>
        <w:spacing w:after="40"/>
      </w:pPr>
      <w:r>
        <w:t>• 2003: DSN-MUI mengeluarkan Fatwa No. 40/2003 tentang Pasar Modal Syariah</w:t>
      </w:r>
    </w:p>
    <w:p>
      <w:pPr>
        <w:pStyle w:val="ListParagraph"/>
        <w:spacing w:after="40"/>
      </w:pPr>
      <w:r>
        <w:t>• 2007: Pemerintah menerbitkan SBSN (Sukuk Negara) pertama</w:t>
      </w:r>
    </w:p>
    <w:p>
      <w:pPr>
        <w:pStyle w:val="ListParagraph"/>
        <w:spacing w:after="40"/>
      </w:pPr>
      <w:r>
        <w:t>• 2011: Indeks Saham Syariah Indonesia (ISSI) diluncurkan mencakup semua saham syariah</w:t>
      </w:r>
    </w:p>
    <w:p>
      <w:pPr>
        <w:pStyle w:val="ListParagraph"/>
        <w:spacing w:after="40"/>
      </w:pPr>
      <w:r>
        <w:t>• 2018: Indonesia menerbitkan Green Sukuk negara pertama di dunia</w:t>
      </w:r>
    </w:p>
    <w:p>
      <w:pPr>
        <w:pStyle w:val="ListParagraph"/>
        <w:spacing w:after="40"/>
      </w:pPr>
      <w:r>
        <w:t>• 2024: 576 saham di Daftar Efek Syariah (DES), AUM reksa dana syariah Rp 157,3 triliun</w:t>
      </w:r>
    </w:p>
    <w:p>
      <w:pPr>
        <w:pStyle w:val="Heading3"/>
        <w:spacing w:after="120"/>
      </w:pPr>
      <w:r>
        <w:t>Regulasi Pasar Modal Syariah Indonesia</w:t>
      </w:r>
    </w:p>
    <w:p>
      <w:pPr>
        <w:pStyle w:val="ListParagraph"/>
        <w:spacing w:after="40"/>
      </w:pPr>
      <w:r>
        <w:t>• POJK No. 15/2015: Tentang Penerbitian dan Persyaratan Sukuk</w:t>
      </w:r>
    </w:p>
    <w:p>
      <w:pPr>
        <w:pStyle w:val="ListParagraph"/>
        <w:spacing w:after="40"/>
      </w:pPr>
      <w:r>
        <w:t>• POJK No. 53/2017: Tentang Peraturan Pasar Modal Syariah</w:t>
      </w:r>
    </w:p>
    <w:p>
      <w:pPr>
        <w:pStyle w:val="ListParagraph"/>
        <w:spacing w:after="40"/>
      </w:pPr>
      <w:r>
        <w:t>• Fatwa DSN-MUI No. 40/2003: Tentang Pasar Modal Syariah (dasar fiqih)</w:t>
      </w:r>
    </w:p>
    <w:p>
      <w:pPr>
        <w:pStyle w:val="ListParagraph"/>
        <w:spacing w:after="40"/>
      </w:pPr>
      <w:r>
        <w:t>• Fatwa DSN-MUI No. 80/2011: Tentang Penerapan Prinsip Syariah dalam Mekanisme Perdagangan Efek</w:t>
      </w:r>
    </w:p>
    <w:p>
      <w:pPr>
        <w:pStyle w:val="ListParagraph"/>
        <w:spacing w:after="40"/>
      </w:pPr>
      <w:r>
        <w:t>• Panduan OJK 2024: Investasi Pasar Modal Syariah Indonesia</w:t>
      </w:r>
    </w:p>
    <w:p>
      <w:pPr>
        <w:pStyle w:val="Heading1"/>
        <w:spacing w:after="120"/>
      </w:pPr>
      <w:r>
        <w:t>Modul 3-5: Screening Syariah, Sukuk &amp; Transaksi Terlarang</w:t>
      </w:r>
    </w:p>
    <w:p>
      <w:pPr>
        <w:spacing w:after="120"/>
      </w:pPr>
      <w:r>
        <w:t>Screening Syariah mencakup aspek bisnis (business clean) dan aspek keuangan (financial ratios). Emiten harus memenuhi kriteria: pendapatan non-halal ≤ 10% total revenue, debt ratio riba ≤ 45%, tanpa bisnis terlarang (miras, judi, senjata, hiburan maksiat).</w:t>
      </w:r>
    </w:p>
    <w:p>
      <w:pPr>
        <w:spacing w:after="120"/>
      </w:pPr>
      <w:r>
        <w:t>12 Transaksi Terlarang (Fatwa DSN-MUI No. 80/2011): Tadlis (front running), Taghrir (wash sale), Najsy (pump &amp; dump), Ihtikar (cornering), Ghisysy (marking at close), Ghabn Fahisy (fraudulent sale), Riba (interest-based), Short selling, Margin trading, Derivatives spekulatif, Risywah (insider dealing), Transaksi maksiat.</w:t>
      </w:r>
    </w:p>
    <w:p>
      <w:pPr>
        <w:spacing w:after="120"/>
      </w:pPr>
      <w:r>
        <w:t>Sukuk Syariah: Berbeda dari obligasi konvensional. Pemegang sukuk adalah pemilik aset underlying (bukan kreditor). Return berasal dari profit sharing atau rental income, bukan bunga riba. Jenis: Ijarah (lease), Mudharabah (profit-sharing), Musyarakah (partnership), Istishna (manufacturing), Wakalah (delegation).</w:t>
      </w:r>
    </w:p>
    <w:p>
      <w:pPr>
        <w:pStyle w:val="Heading1"/>
        <w:spacing w:after="120"/>
      </w:pPr>
      <w:r>
        <w:t>Modul 6-15: Reksa Dana, Analisis, Portofolio &amp; Fintech</w:t>
      </w:r>
    </w:p>
    <w:p>
      <w:pPr>
        <w:pStyle w:val="Heading2"/>
        <w:spacing w:after="120"/>
      </w:pPr>
      <w:r>
        <w:t>Modul 6-7: Reksa Dana Syariah (RDS)</w:t>
      </w:r>
    </w:p>
    <w:p>
      <w:pPr>
        <w:spacing w:after="120"/>
      </w:pPr>
      <w:r>
        <w:t>RDS adalah wadah investasi yang menghimpun dana masyarakat untuk diinvestasikan dalam instrumen halal, di bawah pengelolaan Manajer Investasi profesional dan pengawasan Dewan Pengawas Syariah (DPS). Tiga komponen esensial: (1) Obyek investasi halal, (2) Cleansing process (pembersihan pendapatan non-halal), (3) DPS oversight.</w:t>
      </w:r>
    </w:p>
    <w:p>
      <w:pPr>
        <w:spacing w:after="120"/>
      </w:pPr>
      <w:r>
        <w:t>Lima jenis RDS: Money Market (4.28% p.a., low risk), Fixed Income (5.38% p.a., medium risk), Balanced (4.40% p.a., medium risk), Equity (3.09% p.a., high volatility untuk long-term), Protected (minimum guarantee dengan cap upside).</w:t>
      </w:r>
    </w:p>
    <w:p>
      <w:pPr>
        <w:spacing w:after="120"/>
      </w:pPr>
      <w:r>
        <w:t>Enam keuntungan RDS: Investasi halal, minimum rendah, manager profesional, dana di bank kustodian (aman), fleksibel berbagai kebutuhan, likuiditas tinggi.</w:t>
      </w:r>
    </w:p>
    <w:p>
      <w:pPr>
        <w:spacing w:after="120"/>
      </w:pPr>
      <w:r>
        <w:t>Tiga kriteria memilih manager: Legal &amp; compliance (OJK registered), Track record terbukti (min 3 tahun, Sharpe &gt; 1.0), Pelayanan baik (customer service, platform, edukasi, fee kompetitif).</w:t>
      </w:r>
    </w:p>
    <w:p>
      <w:pPr>
        <w:pStyle w:val="Heading2"/>
        <w:spacing w:after="120"/>
      </w:pPr>
      <w:r>
        <w:t>Modul 8-9: Analisis Fundamental &amp; Teknikal (UTS)</w:t>
      </w:r>
    </w:p>
    <w:p>
      <w:pPr>
        <w:spacing w:after="120"/>
      </w:pPr>
      <w:r>
        <w:t>Trading vs Investing: Trader fokus capital gain, short-term, chart-based, bereaksi cepat. Investor fokus dividend + capital gain, long-term, fundamental-based, patient. Dalam syariah: Trading spekulatif (maysir) haram; trading berbasis fundamental (hedging, value-based) boleh.</w:t>
      </w:r>
    </w:p>
    <w:p>
      <w:pPr>
        <w:spacing w:after="120"/>
      </w:pPr>
      <w:r>
        <w:t>Fundamental Analysis: Laporan keuangan (laba-rugi, neraca, arus kas), rasio keuangan kunci (PER, PBV, ROE, ROA, DER, current ratio), valuation methods (DCF, P/E multiple). Penyesuaian syariah: eliminasi pendapatan non-halal, normalisasi utang riba.</w:t>
      </w:r>
    </w:p>
    <w:p>
      <w:pPr>
        <w:spacing w:after="120"/>
      </w:pPr>
      <w:r>
        <w:t>Technical Analysis: Chart types (candlestick, support/resistance, trend lines), patterns (head &amp; shoulders, double top/bottom, triangle, flag), indicators (Moving Averages, RSI, MACD, Bollinger Bands).</w:t>
      </w:r>
    </w:p>
    <w:p>
      <w:pPr>
        <w:spacing w:after="120"/>
      </w:pPr>
      <w:r>
        <w:t>UTS: Presentasi analisis fundamental emiten syariah pilihan (15 menit + Q&amp;A 5 menit). Format: Profil perusahaan → Status DES → Analisis fundamental 3 tahun → Rasio keuangan → Valuasi → Rekomendasi (Buy/Hold/Sell) → Technical analysis singkat → Risk disclosure.</w:t>
      </w:r>
    </w:p>
    <w:p>
      <w:pPr>
        <w:pStyle w:val="Heading2"/>
        <w:spacing w:after="120"/>
      </w:pPr>
      <w:r>
        <w:t>Modul 10-12: Portofolio, Risiko &amp; Rebalancing</w:t>
      </w:r>
    </w:p>
    <w:p>
      <w:pPr>
        <w:spacing w:after="120"/>
      </w:pPr>
      <w:r>
        <w:t>Konstruksi portfolio untuk 3 profil risiko: Conservative (MM 35%, Fixed Income 45%, Equity 20%, expected return 4-5% p.a., max drawdown 10%), Moderate (MM 15%, Balanced 45%, Equity 35%, Sukuk 5%, expected return 7% p.a., max drawdown 18%), Aggressive (Equity 60%, Balanced 30%, MM 10%, expected return 10% p.a., max drawdown 30%).</w:t>
      </w:r>
    </w:p>
    <w:p>
      <w:pPr>
        <w:spacing w:after="120"/>
      </w:pPr>
      <w:r>
        <w:t>Risk Management: Sharpe Ratio = (Return - Risk-free rate) / Volatility (ideal &gt; 1.0). Value at Risk (VaR): maximum expected loss dalam periode tertentu dengan confidence level 95%.</w:t>
      </w:r>
    </w:p>
    <w:p>
      <w:pPr>
        <w:spacing w:after="120"/>
      </w:pPr>
      <w:r>
        <w:t>Rebalancing Strategy: Tactical (adjust sesuai opportunity), Strategic (quarterly/semi-annually ke target allocation). Performance measurement: Total return (semua return), benchmark comparison (ISSI, sukuk index), Sharpe ratio, attribution analysis (apa yang drive returns).</w:t>
      </w:r>
    </w:p>
    <w:p>
      <w:pPr>
        <w:pStyle w:val="Heading2"/>
        <w:spacing w:after="120"/>
      </w:pPr>
      <w:r>
        <w:t>Modul 13-15: Fintech Syariah, Green Sukuk &amp; UAS</w:t>
      </w:r>
    </w:p>
    <w:p>
      <w:pPr>
        <w:spacing w:after="120"/>
      </w:pPr>
      <w:r>
        <w:t>Fintech Investasi Syariah: 12 isu kesyariahan (legal, transparency, security, underlying halal, akad syariah, DPS aktif, no leverage riba, tax/zakat clear, customer protection, no hidden fees, risk disclosure, sustainability ESG). Lima bentuk fintech: Crowdfunding syariah, P2P lending syariah, Platform investasi digital halal, Robo-advisor syariah, Blockchain &amp; crypto syariah.</w:t>
      </w:r>
    </w:p>
    <w:p>
      <w:pPr>
        <w:spacing w:after="120"/>
      </w:pPr>
      <w:r>
        <w:t>Green Sukuk: Sukuk dengan proceeds untuk environmental projects. Alignment dengan Maqashid Syariah: environmental (keberlanjutan), social (keadilan), governance (amanah).</w:t>
      </w:r>
    </w:p>
    <w:p>
      <w:pPr>
        <w:spacing w:after="120"/>
      </w:pPr>
      <w:r>
        <w:t>UAS: Proposal Portofolio Investasi Syariah (15-20 halaman, individual/kelompok max 3 orang). Struktur: Executive summary, Investor profile, Investment universe, Fundamental &amp; technical analysis, Portfolio construction, Risk management, Fintech integration, Monitoring &amp; rebalancing, Conclusion, References (min 15 sources APA 7th).</w:t>
      </w:r>
    </w:p>
    <w:p>
      <w:r>
        <w:br w:type="page"/>
      </w:r>
    </w:p>
    <w:p>
      <w:pPr>
        <w:pStyle w:val="Heading1"/>
        <w:spacing w:after="120"/>
      </w:pPr>
      <w:r>
        <w:t>LAMPIRAN A: GLOSSARY ISTILAH PASAR MODAL SYARIAH</w:t>
      </w:r>
    </w:p>
    <w:tbl>
      <w:tblPr>
        <w:tblW w:type="auto" w:w="0"/>
        <w:tblLook w:firstColumn="1" w:firstRow="1" w:lastColumn="0" w:lastRow="0" w:noHBand="0" w:noVBand="1" w:val="04A0"/>
        <w:tblBorders>
          <w:top w:val="single" w:sz="4" w:color="1a6b3c"/>
          <w:left w:val="single" w:sz="4" w:color="1a6b3c"/>
          <w:bottom w:val="single" w:sz="4" w:color="1a6b3c"/>
          <w:right w:val="single" w:sz="4" w:color="1a6b3c"/>
          <w:insideH w:val="single" w:sz="4" w:color="1a6b3c"/>
          <w:insideV w:val="single" w:sz="4" w:color="1a6b3c"/>
        </w:tblBorders>
      </w:tblPr>
      <w:tblGrid>
        <w:gridCol w:w="4693"/>
        <w:gridCol w:w="4693"/>
      </w:tblGrid>
      <w:tr>
        <w:tc>
          <w:tcPr>
            <w:tcW w:type="dxa" w:w="4693"/>
            <w:shd w:val="clear" w:fill="e8f5e9"/>
          </w:tcPr>
          <w:p>
            <w:r/>
            <w:r>
              <w:rPr>
                <w:b/>
                <w:sz w:val="18"/>
              </w:rPr>
              <w:t>Istilah</w:t>
            </w:r>
          </w:p>
        </w:tc>
        <w:tc>
          <w:tcPr>
            <w:tcW w:type="dxa" w:w="4693"/>
            <w:shd w:val="clear" w:fill="e8f5e9"/>
          </w:tcPr>
          <w:p>
            <w:r/>
            <w:r>
              <w:rPr>
                <w:b/>
                <w:sz w:val="18"/>
              </w:rPr>
              <w:t>Definisi</w:t>
            </w:r>
          </w:p>
        </w:tc>
      </w:tr>
      <w:tr>
        <w:tc>
          <w:tcPr>
            <w:tcW w:type="dxa" w:w="4693"/>
          </w:tcPr>
          <w:p>
            <w:r/>
            <w:r>
              <w:rPr>
                <w:sz w:val="18"/>
              </w:rPr>
              <w:t>Amanah</w:t>
            </w:r>
          </w:p>
        </w:tc>
        <w:tc>
          <w:tcPr>
            <w:tcW w:type="dxa" w:w="4693"/>
          </w:tcPr>
          <w:p>
            <w:r/>
            <w:r>
              <w:rPr>
                <w:sz w:val="18"/>
              </w:rPr>
              <w:t>Kepercayaan, tanggung jawab dalam mengelola harta.</w:t>
            </w:r>
          </w:p>
        </w:tc>
      </w:tr>
      <w:tr>
        <w:tc>
          <w:tcPr>
            <w:tcW w:type="dxa" w:w="4693"/>
          </w:tcPr>
          <w:p>
            <w:r/>
            <w:r>
              <w:rPr>
                <w:sz w:val="18"/>
              </w:rPr>
              <w:t>Daftar Efek Syariah (DES)</w:t>
            </w:r>
          </w:p>
        </w:tc>
        <w:tc>
          <w:tcPr>
            <w:tcW w:type="dxa" w:w="4693"/>
          </w:tcPr>
          <w:p>
            <w:r/>
            <w:r>
              <w:rPr>
                <w:sz w:val="18"/>
              </w:rPr>
              <w:t>Daftar saham yang memenuhi kriteria syariah OJK.</w:t>
            </w:r>
          </w:p>
        </w:tc>
      </w:tr>
      <w:tr>
        <w:tc>
          <w:tcPr>
            <w:tcW w:type="dxa" w:w="4693"/>
          </w:tcPr>
          <w:p>
            <w:r/>
            <w:r>
              <w:rPr>
                <w:sz w:val="18"/>
              </w:rPr>
              <w:t>Dewan Pengawas Syariah (DPS)</w:t>
            </w:r>
          </w:p>
        </w:tc>
        <w:tc>
          <w:tcPr>
            <w:tcW w:type="dxa" w:w="4693"/>
          </w:tcPr>
          <w:p>
            <w:r/>
            <w:r>
              <w:rPr>
                <w:sz w:val="18"/>
              </w:rPr>
              <w:t>Tim ahli yang memverifikasi kehalalan instrumen investasi.</w:t>
            </w:r>
          </w:p>
        </w:tc>
      </w:tr>
      <w:tr>
        <w:tc>
          <w:tcPr>
            <w:tcW w:type="dxa" w:w="4693"/>
          </w:tcPr>
          <w:p>
            <w:r/>
            <w:r>
              <w:rPr>
                <w:sz w:val="18"/>
              </w:rPr>
              <w:t>Gharar</w:t>
            </w:r>
          </w:p>
        </w:tc>
        <w:tc>
          <w:tcPr>
            <w:tcW w:type="dxa" w:w="4693"/>
          </w:tcPr>
          <w:p>
            <w:r/>
            <w:r>
              <w:rPr>
                <w:sz w:val="18"/>
              </w:rPr>
              <w:t>Ketidakpastian berlebihan dalam transaksi.</w:t>
            </w:r>
          </w:p>
        </w:tc>
      </w:tr>
      <w:tr>
        <w:tc>
          <w:tcPr>
            <w:tcW w:type="dxa" w:w="4693"/>
          </w:tcPr>
          <w:p>
            <w:r/>
            <w:r>
              <w:rPr>
                <w:sz w:val="18"/>
              </w:rPr>
              <w:t>Indeks Saham Syariah Indonesia (ISSI)</w:t>
            </w:r>
          </w:p>
        </w:tc>
        <w:tc>
          <w:tcPr>
            <w:tcW w:type="dxa" w:w="4693"/>
          </w:tcPr>
          <w:p>
            <w:r/>
            <w:r>
              <w:rPr>
                <w:sz w:val="18"/>
              </w:rPr>
              <w:t>Indeks semua saham syariah di BEI.</w:t>
            </w:r>
          </w:p>
        </w:tc>
      </w:tr>
      <w:tr>
        <w:tc>
          <w:tcPr>
            <w:tcW w:type="dxa" w:w="4693"/>
          </w:tcPr>
          <w:p>
            <w:r/>
            <w:r>
              <w:rPr>
                <w:sz w:val="18"/>
              </w:rPr>
              <w:t>Jakarta Islamic Index (JII)</w:t>
            </w:r>
          </w:p>
        </w:tc>
        <w:tc>
          <w:tcPr>
            <w:tcW w:type="dxa" w:w="4693"/>
          </w:tcPr>
          <w:p>
            <w:r/>
            <w:r>
              <w:rPr>
                <w:sz w:val="18"/>
              </w:rPr>
              <w:t>Indeks 30 saham syariah terbesar likuid.</w:t>
            </w:r>
          </w:p>
        </w:tc>
      </w:tr>
      <w:tr>
        <w:tc>
          <w:tcPr>
            <w:tcW w:type="dxa" w:w="4693"/>
          </w:tcPr>
          <w:p>
            <w:r/>
            <w:r>
              <w:rPr>
                <w:sz w:val="18"/>
              </w:rPr>
              <w:t>Maysir</w:t>
            </w:r>
          </w:p>
        </w:tc>
        <w:tc>
          <w:tcPr>
            <w:tcW w:type="dxa" w:w="4693"/>
          </w:tcPr>
          <w:p>
            <w:r/>
            <w:r>
              <w:rPr>
                <w:sz w:val="18"/>
              </w:rPr>
              <w:t>Spekulasi dan perjudian.</w:t>
            </w:r>
          </w:p>
        </w:tc>
      </w:tr>
      <w:tr>
        <w:tc>
          <w:tcPr>
            <w:tcW w:type="dxa" w:w="4693"/>
          </w:tcPr>
          <w:p>
            <w:r/>
            <w:r>
              <w:rPr>
                <w:sz w:val="18"/>
              </w:rPr>
              <w:t>Mudharabah</w:t>
            </w:r>
          </w:p>
        </w:tc>
        <w:tc>
          <w:tcPr>
            <w:tcW w:type="dxa" w:w="4693"/>
          </w:tcPr>
          <w:p>
            <w:r/>
            <w:r>
              <w:rPr>
                <w:sz w:val="18"/>
              </w:rPr>
              <w:t>Kerjasama investasi berbasis profit-sharing (investor 100% modal).</w:t>
            </w:r>
          </w:p>
        </w:tc>
      </w:tr>
      <w:tr>
        <w:tc>
          <w:tcPr>
            <w:tcW w:type="dxa" w:w="4693"/>
          </w:tcPr>
          <w:p>
            <w:r/>
            <w:r>
              <w:rPr>
                <w:sz w:val="18"/>
              </w:rPr>
              <w:t>Musyarakah</w:t>
            </w:r>
          </w:p>
        </w:tc>
        <w:tc>
          <w:tcPr>
            <w:tcW w:type="dxa" w:w="4693"/>
          </w:tcPr>
          <w:p>
            <w:r/>
            <w:r>
              <w:rPr>
                <w:sz w:val="18"/>
              </w:rPr>
              <w:t>Partnership dimana semua pihak contribute modal dan profit sharing.</w:t>
            </w:r>
          </w:p>
        </w:tc>
      </w:tr>
      <w:tr>
        <w:tc>
          <w:tcPr>
            <w:tcW w:type="dxa" w:w="4693"/>
          </w:tcPr>
          <w:p>
            <w:r/>
            <w:r>
              <w:rPr>
                <w:sz w:val="18"/>
              </w:rPr>
              <w:t>Riba</w:t>
            </w:r>
          </w:p>
        </w:tc>
        <w:tc>
          <w:tcPr>
            <w:tcW w:type="dxa" w:w="4693"/>
          </w:tcPr>
          <w:p>
            <w:r/>
            <w:r>
              <w:rPr>
                <w:sz w:val="18"/>
              </w:rPr>
              <w:t>Kelebihan tanpa kompensasi, dilarang dalam Islam.</w:t>
            </w:r>
          </w:p>
        </w:tc>
      </w:tr>
      <w:tr>
        <w:tc>
          <w:tcPr>
            <w:tcW w:type="dxa" w:w="4693"/>
          </w:tcPr>
          <w:p>
            <w:r/>
            <w:r>
              <w:rPr>
                <w:sz w:val="18"/>
              </w:rPr>
              <w:t>Screening Syariah</w:t>
            </w:r>
          </w:p>
        </w:tc>
        <w:tc>
          <w:tcPr>
            <w:tcW w:type="dxa" w:w="4693"/>
          </w:tcPr>
          <w:p>
            <w:r/>
            <w:r>
              <w:rPr>
                <w:sz w:val="18"/>
              </w:rPr>
              <w:t>Proses verifikasi kehalalan emiten/instrumen.</w:t>
            </w:r>
          </w:p>
        </w:tc>
      </w:tr>
      <w:tr>
        <w:tc>
          <w:tcPr>
            <w:tcW w:type="dxa" w:w="4693"/>
          </w:tcPr>
          <w:p>
            <w:r/>
            <w:r>
              <w:rPr>
                <w:sz w:val="18"/>
              </w:rPr>
              <w:t>Sukuk</w:t>
            </w:r>
          </w:p>
        </w:tc>
        <w:tc>
          <w:tcPr>
            <w:tcW w:type="dxa" w:w="4693"/>
          </w:tcPr>
          <w:p>
            <w:r/>
            <w:r>
              <w:rPr>
                <w:sz w:val="18"/>
              </w:rPr>
              <w:t>Obligasi berbasis akad syariah, bukan bunga riba.</w:t>
            </w:r>
          </w:p>
        </w:tc>
      </w:tr>
      <w:tr>
        <w:tc>
          <w:tcPr>
            <w:tcW w:type="dxa" w:w="4693"/>
          </w:tcPr>
          <w:p>
            <w:r/>
            <w:r>
              <w:rPr>
                <w:sz w:val="18"/>
              </w:rPr>
              <w:t>Wakalah</w:t>
            </w:r>
          </w:p>
        </w:tc>
        <w:tc>
          <w:tcPr>
            <w:tcW w:type="dxa" w:w="4693"/>
          </w:tcPr>
          <w:p>
            <w:r/>
            <w:r>
              <w:rPr>
                <w:sz w:val="18"/>
              </w:rPr>
              <w:t>Akad delegasi/kuasa dalam pengelolaan dana.</w:t>
            </w:r>
          </w:p>
        </w:tc>
      </w:tr>
    </w:tbl>
    <w:p>
      <w:pPr>
        <w:spacing w:after="80"/>
      </w:pPr>
    </w:p>
    <w:p>
      <w:pPr>
        <w:pStyle w:val="Heading1"/>
        <w:spacing w:after="120"/>
      </w:pPr>
      <w:r>
        <w:t>LAMPIRAN B: DAFTAR PUSTAKA (APA 7th)</w:t>
      </w:r>
    </w:p>
    <w:p>
      <w:pPr>
        <w:spacing w:after="80"/>
        <w:ind w:left="567" w:hanging="567"/>
      </w:pPr>
      <w:r>
        <w:t>Ayub, M. (2007). Understanding Islamic finance. Wiley.</w:t>
      </w:r>
    </w:p>
    <w:p>
      <w:pPr>
        <w:spacing w:after="80"/>
        <w:ind w:left="567" w:hanging="567"/>
      </w:pPr>
      <w:r>
        <w:t>Bursa Efek Indonesia. (2024). Panduan investasi saham syariah &amp; statistik pasar modal. BEI.</w:t>
      </w:r>
    </w:p>
    <w:p>
      <w:pPr>
        <w:spacing w:after="80"/>
        <w:ind w:left="567" w:hanging="567"/>
      </w:pPr>
      <w:r>
        <w:t>DinarStandard. (2025). State of the global Islamic economy report 2025/26. DinarStandard.</w:t>
      </w:r>
    </w:p>
    <w:p>
      <w:pPr>
        <w:spacing w:after="80"/>
        <w:ind w:left="567" w:hanging="567"/>
      </w:pPr>
      <w:r>
        <w:t>DSN-MUI. (2003). Fatwa No. 40/DSN-MUI/X/2003 tentang pasar modal dan pedoman umum penerapan prinsip syariah di bidang pasar modal. DSN-MUI.</w:t>
      </w:r>
    </w:p>
    <w:p>
      <w:pPr>
        <w:spacing w:after="80"/>
        <w:ind w:left="567" w:hanging="567"/>
      </w:pPr>
      <w:r>
        <w:t>DSN-MUI. (2011). Fatwa No. 80/DSN-MUI/III/2011 tentang penerapan prinsip syariah dalam mekanisme perdagangan efek bersifat ekuitas di pasar reguler bursa efek. DSN-MUI.</w:t>
      </w:r>
    </w:p>
    <w:p>
      <w:pPr>
        <w:spacing w:after="80"/>
        <w:ind w:left="567" w:hanging="567"/>
      </w:pPr>
      <w:r>
        <w:t>DSN-MUI. (2018). Fatwa No. 117/DSN-MUI/II/2018 tentang uang elektronik syariah. DSN-MUI.</w:t>
      </w:r>
    </w:p>
    <w:p>
      <w:pPr>
        <w:spacing w:after="80"/>
        <w:ind w:left="567" w:hanging="567"/>
      </w:pPr>
      <w:r>
        <w:t>Elton, E. J., Gruber, M. J., Brown, S. J., &amp; Goetzmann, W. N. (2021). Modern portfolio theory and investment analysis (10th ed.). Wiley.</w:t>
      </w:r>
    </w:p>
    <w:p>
      <w:pPr>
        <w:spacing w:after="80"/>
        <w:ind w:left="567" w:hanging="567"/>
      </w:pPr>
      <w:r>
        <w:t>Fabozzi, F. J., &amp; Choudhry, M. (2016). The handbook of European structured financial products &amp; sukuk and Islamic capital markets. Wiley.</w:t>
      </w:r>
    </w:p>
    <w:p>
      <w:pPr>
        <w:spacing w:after="80"/>
        <w:ind w:left="567" w:hanging="567"/>
      </w:pPr>
      <w:r>
        <w:t>Harahap, S. S. (2021). Analisis kritis atas laporan keuangan (edisi revisi). RajaGrafindo Persada.</w:t>
      </w:r>
    </w:p>
    <w:p>
      <w:pPr>
        <w:spacing w:after="80"/>
        <w:ind w:left="567" w:hanging="567"/>
      </w:pPr>
      <w:r>
        <w:t>Huda, N., &amp; Mustafa Edwin, N. (2021). Investasi pada pasar modal syariah (edisi revisi). Kencana Prenada.</w:t>
      </w:r>
    </w:p>
    <w:p>
      <w:pPr>
        <w:spacing w:after="80"/>
        <w:ind w:left="567" w:hanging="567"/>
      </w:pPr>
      <w:r>
        <w:t>Infovesta. (2019). Sharia fund performance index 2010-2019. Infovesta Research.</w:t>
      </w:r>
    </w:p>
    <w:p>
      <w:pPr>
        <w:spacing w:after="80"/>
        <w:ind w:left="567" w:hanging="567"/>
      </w:pPr>
      <w:r>
        <w:t>Kemenkeu RI – DJPPR. (2024). Panduan investasi surat berharga negara syariah. DJPPR.</w:t>
      </w:r>
    </w:p>
    <w:p>
      <w:pPr>
        <w:spacing w:after="80"/>
        <w:ind w:left="567" w:hanging="567"/>
      </w:pPr>
      <w:r>
        <w:t>Murphy, J. J. (2019). Technical analysis of the financial markets (terjemahan). Gramedia.</w:t>
      </w:r>
    </w:p>
    <w:p>
      <w:pPr>
        <w:spacing w:after="80"/>
        <w:ind w:left="567" w:hanging="567"/>
      </w:pPr>
      <w:r>
        <w:t>OJK. (2024). Statistik pasar modal syariah &amp; pedoman investasi syariah. OJK.</w:t>
      </w:r>
    </w:p>
    <w:p>
      <w:pPr>
        <w:spacing w:after="80"/>
        <w:ind w:left="567" w:hanging="567"/>
      </w:pPr>
      <w:r>
        <w:t>OJK. (2024). Peraturan otoritas jasa keuangan No. 15/2015 tentang penerbitan dan persyaratan sukuk. OJK.</w:t>
      </w:r>
    </w:p>
    <w:p>
      <w:pPr>
        <w:spacing w:after="80"/>
        <w:ind w:left="567" w:hanging="567"/>
      </w:pPr>
      <w:r>
        <w:t>OJK. (2024). Peraturan otoritas jasa keuangan No. 53/2017 tentang peraturan pasar modal syariah. OJK.</w:t>
      </w:r>
    </w:p>
    <w:p>
      <w:pPr>
        <w:spacing w:after="80"/>
        <w:ind w:left="567" w:hanging="567"/>
      </w:pPr>
      <w:r>
        <w:t>Rudiyanto. (2019). Strategi investasi reksa dana syariah. Panin Asset Management.</w:t>
      </w:r>
    </w:p>
    <w:p>
      <w:pPr>
        <w:spacing w:after="80"/>
        <w:ind w:left="567" w:hanging="567"/>
      </w:pPr>
      <w:r>
        <w:t>Siswanto, I. E. (2019). Workshop saham syariah framework [Presentation slides]. IFBTC.</w:t>
      </w:r>
    </w:p>
    <w:p>
      <w:r>
        <w:br w:type="page"/>
      </w:r>
    </w:p>
    <w:p>
      <w:pPr>
        <w:pStyle w:val="Heading1"/>
        <w:spacing w:after="120"/>
      </w:pPr>
      <w:r>
        <w:t>LAMPIRAN C: TEMPLATE PORTFOLIO WORKSHEET</w:t>
      </w:r>
    </w:p>
    <w:p>
      <w:pPr>
        <w:spacing w:after="120"/>
      </w:pPr>
      <w:r>
        <w:t>Instruksi: Gunakan template ini untuk merancang portfolio investasi pribadi Anda berdasarkan profil risiko dan tujuan finansial.</w:t>
      </w:r>
    </w:p>
    <w:p>
      <w:pPr>
        <w:pStyle w:val="Heading2"/>
        <w:spacing w:after="120"/>
      </w:pPr>
      <w:r>
        <w:t>Section 1: Investor Profile</w:t>
      </w:r>
    </w:p>
    <w:p>
      <w:pPr>
        <w:spacing w:after="160"/>
      </w:pPr>
      <w:r>
        <w:t>Nama: __________________ | Usia: _____ | Horizon Waktu: _____ tahun</w:t>
      </w:r>
    </w:p>
    <w:p>
      <w:pPr>
        <w:spacing w:after="160"/>
      </w:pPr>
      <w:r>
        <w:t>Tujuan Investasi: _____________ | Target Return: ___% p.a.</w:t>
      </w:r>
    </w:p>
    <w:p>
      <w:pPr>
        <w:spacing w:after="160"/>
      </w:pPr>
      <w:r>
        <w:t>Max Acceptable Drawdown: ___% | Profil Risiko: [ ] Conservative [ ] Moderate [ ] Aggressive</w:t>
      </w:r>
    </w:p>
    <w:p>
      <w:pPr>
        <w:pStyle w:val="Heading2"/>
        <w:spacing w:after="120"/>
      </w:pPr>
      <w:r>
        <w:t>Section 2: Asset Allocation Plan</w:t>
      </w:r>
    </w:p>
    <w:tbl>
      <w:tblPr>
        <w:tblW w:type="auto" w:w="0"/>
        <w:tblLook w:firstColumn="1" w:firstRow="1" w:lastColumn="0" w:lastRow="0" w:noHBand="0" w:noVBand="1" w:val="04A0"/>
        <w:tblBorders>
          <w:top w:val="single" w:sz="4" w:color="1a6b3c"/>
          <w:left w:val="single" w:sz="4" w:color="1a6b3c"/>
          <w:bottom w:val="single" w:sz="4" w:color="1a6b3c"/>
          <w:right w:val="single" w:sz="4" w:color="1a6b3c"/>
          <w:insideH w:val="single" w:sz="4" w:color="1a6b3c"/>
          <w:insideV w:val="single" w:sz="4" w:color="1a6b3c"/>
        </w:tblBorders>
      </w:tblPr>
      <w:tblGrid>
        <w:gridCol w:w="1877"/>
        <w:gridCol w:w="1877"/>
        <w:gridCol w:w="1877"/>
        <w:gridCol w:w="1877"/>
        <w:gridCol w:w="1877"/>
      </w:tblGrid>
      <w:tr>
        <w:tc>
          <w:tcPr>
            <w:tcW w:type="dxa" w:w="1877"/>
            <w:shd w:val="clear" w:fill="e8f5e9"/>
          </w:tcPr>
          <w:p>
            <w:r/>
            <w:r>
              <w:rPr>
                <w:b/>
                <w:sz w:val="18"/>
              </w:rPr>
              <w:t>Asset Class</w:t>
            </w:r>
          </w:p>
        </w:tc>
        <w:tc>
          <w:tcPr>
            <w:tcW w:type="dxa" w:w="1877"/>
            <w:shd w:val="clear" w:fill="e8f5e9"/>
          </w:tcPr>
          <w:p>
            <w:r/>
            <w:r>
              <w:rPr>
                <w:b/>
                <w:sz w:val="18"/>
              </w:rPr>
              <w:t>Target %</w:t>
            </w:r>
          </w:p>
        </w:tc>
        <w:tc>
          <w:tcPr>
            <w:tcW w:type="dxa" w:w="1877"/>
            <w:shd w:val="clear" w:fill="e8f5e9"/>
          </w:tcPr>
          <w:p>
            <w:r/>
            <w:r>
              <w:rPr>
                <w:b/>
                <w:sz w:val="18"/>
              </w:rPr>
              <w:t>Expected Return</w:t>
            </w:r>
          </w:p>
        </w:tc>
        <w:tc>
          <w:tcPr>
            <w:tcW w:type="dxa" w:w="1877"/>
            <w:shd w:val="clear" w:fill="e8f5e9"/>
          </w:tcPr>
          <w:p>
            <w:r/>
            <w:r>
              <w:rPr>
                <w:b/>
                <w:sz w:val="18"/>
              </w:rPr>
              <w:t>Volatility</w:t>
            </w:r>
          </w:p>
        </w:tc>
        <w:tc>
          <w:tcPr>
            <w:tcW w:type="dxa" w:w="1877"/>
            <w:shd w:val="clear" w:fill="e8f5e9"/>
          </w:tcPr>
          <w:p>
            <w:r/>
            <w:r>
              <w:rPr>
                <w:b/>
                <w:sz w:val="18"/>
              </w:rPr>
              <w:t>Actual %</w:t>
            </w:r>
          </w:p>
        </w:tc>
      </w:tr>
      <w:tr>
        <w:tc>
          <w:tcPr>
            <w:tcW w:type="dxa" w:w="1877"/>
          </w:tcPr>
          <w:p>
            <w:r/>
            <w:r>
              <w:rPr>
                <w:sz w:val="18"/>
              </w:rPr>
              <w:t>RDS Money Market</w:t>
            </w:r>
          </w:p>
        </w:tc>
        <w:tc>
          <w:tcPr>
            <w:tcW w:type="dxa" w:w="1877"/>
          </w:tcPr>
          <w:p>
            <w:r/>
            <w:r>
              <w:rPr>
                <w:sz w:val="18"/>
              </w:rPr>
              <w:t>__%</w:t>
            </w:r>
          </w:p>
        </w:tc>
        <w:tc>
          <w:tcPr>
            <w:tcW w:type="dxa" w:w="1877"/>
          </w:tcPr>
          <w:p>
            <w:r/>
            <w:r>
              <w:rPr>
                <w:sz w:val="18"/>
              </w:rPr>
              <w:t>__%</w:t>
            </w:r>
          </w:p>
        </w:tc>
        <w:tc>
          <w:tcPr>
            <w:tcW w:type="dxa" w:w="1877"/>
          </w:tcPr>
          <w:p>
            <w:r/>
            <w:r>
              <w:rPr>
                <w:sz w:val="18"/>
              </w:rPr>
              <w:t>__%</w:t>
            </w:r>
          </w:p>
        </w:tc>
        <w:tc>
          <w:tcPr>
            <w:tcW w:type="dxa" w:w="1877"/>
          </w:tcPr>
          <w:p>
            <w:r/>
            <w:r>
              <w:rPr>
                <w:sz w:val="18"/>
              </w:rPr>
              <w:t>__%</w:t>
            </w:r>
          </w:p>
        </w:tc>
      </w:tr>
      <w:tr>
        <w:tc>
          <w:tcPr>
            <w:tcW w:type="dxa" w:w="1877"/>
          </w:tcPr>
          <w:p>
            <w:r/>
            <w:r>
              <w:rPr>
                <w:sz w:val="18"/>
              </w:rPr>
              <w:t>RDS Fixed Income</w:t>
            </w:r>
          </w:p>
        </w:tc>
        <w:tc>
          <w:tcPr>
            <w:tcW w:type="dxa" w:w="1877"/>
          </w:tcPr>
          <w:p>
            <w:r/>
            <w:r>
              <w:rPr>
                <w:sz w:val="18"/>
              </w:rPr>
              <w:t>__%</w:t>
            </w:r>
          </w:p>
        </w:tc>
        <w:tc>
          <w:tcPr>
            <w:tcW w:type="dxa" w:w="1877"/>
          </w:tcPr>
          <w:p>
            <w:r/>
            <w:r>
              <w:rPr>
                <w:sz w:val="18"/>
              </w:rPr>
              <w:t>__%</w:t>
            </w:r>
          </w:p>
        </w:tc>
        <w:tc>
          <w:tcPr>
            <w:tcW w:type="dxa" w:w="1877"/>
          </w:tcPr>
          <w:p>
            <w:r/>
            <w:r>
              <w:rPr>
                <w:sz w:val="18"/>
              </w:rPr>
              <w:t>__%</w:t>
            </w:r>
          </w:p>
        </w:tc>
        <w:tc>
          <w:tcPr>
            <w:tcW w:type="dxa" w:w="1877"/>
          </w:tcPr>
          <w:p>
            <w:r/>
            <w:r>
              <w:rPr>
                <w:sz w:val="18"/>
              </w:rPr>
              <w:t>__%</w:t>
            </w:r>
          </w:p>
        </w:tc>
      </w:tr>
      <w:tr>
        <w:tc>
          <w:tcPr>
            <w:tcW w:type="dxa" w:w="1877"/>
          </w:tcPr>
          <w:p>
            <w:r/>
            <w:r>
              <w:rPr>
                <w:sz w:val="18"/>
              </w:rPr>
              <w:t>RDS Balanced</w:t>
            </w:r>
          </w:p>
        </w:tc>
        <w:tc>
          <w:tcPr>
            <w:tcW w:type="dxa" w:w="1877"/>
          </w:tcPr>
          <w:p>
            <w:r/>
            <w:r>
              <w:rPr>
                <w:sz w:val="18"/>
              </w:rPr>
              <w:t>__%</w:t>
            </w:r>
          </w:p>
        </w:tc>
        <w:tc>
          <w:tcPr>
            <w:tcW w:type="dxa" w:w="1877"/>
          </w:tcPr>
          <w:p>
            <w:r/>
            <w:r>
              <w:rPr>
                <w:sz w:val="18"/>
              </w:rPr>
              <w:t>__%</w:t>
            </w:r>
          </w:p>
        </w:tc>
        <w:tc>
          <w:tcPr>
            <w:tcW w:type="dxa" w:w="1877"/>
          </w:tcPr>
          <w:p>
            <w:r/>
            <w:r>
              <w:rPr>
                <w:sz w:val="18"/>
              </w:rPr>
              <w:t>__%</w:t>
            </w:r>
          </w:p>
        </w:tc>
        <w:tc>
          <w:tcPr>
            <w:tcW w:type="dxa" w:w="1877"/>
          </w:tcPr>
          <w:p>
            <w:r/>
            <w:r>
              <w:rPr>
                <w:sz w:val="18"/>
              </w:rPr>
              <w:t>__%</w:t>
            </w:r>
          </w:p>
        </w:tc>
      </w:tr>
      <w:tr>
        <w:tc>
          <w:tcPr>
            <w:tcW w:type="dxa" w:w="1877"/>
          </w:tcPr>
          <w:p>
            <w:r/>
            <w:r>
              <w:rPr>
                <w:sz w:val="18"/>
              </w:rPr>
              <w:t>RDS Saham</w:t>
            </w:r>
          </w:p>
        </w:tc>
        <w:tc>
          <w:tcPr>
            <w:tcW w:type="dxa" w:w="1877"/>
          </w:tcPr>
          <w:p>
            <w:r/>
            <w:r>
              <w:rPr>
                <w:sz w:val="18"/>
              </w:rPr>
              <w:t>__%</w:t>
            </w:r>
          </w:p>
        </w:tc>
        <w:tc>
          <w:tcPr>
            <w:tcW w:type="dxa" w:w="1877"/>
          </w:tcPr>
          <w:p>
            <w:r/>
            <w:r>
              <w:rPr>
                <w:sz w:val="18"/>
              </w:rPr>
              <w:t>__%</w:t>
            </w:r>
          </w:p>
        </w:tc>
        <w:tc>
          <w:tcPr>
            <w:tcW w:type="dxa" w:w="1877"/>
          </w:tcPr>
          <w:p>
            <w:r/>
            <w:r>
              <w:rPr>
                <w:sz w:val="18"/>
              </w:rPr>
              <w:t>__%</w:t>
            </w:r>
          </w:p>
        </w:tc>
        <w:tc>
          <w:tcPr>
            <w:tcW w:type="dxa" w:w="1877"/>
          </w:tcPr>
          <w:p>
            <w:r/>
            <w:r>
              <w:rPr>
                <w:sz w:val="18"/>
              </w:rPr>
              <w:t>__%</w:t>
            </w:r>
          </w:p>
        </w:tc>
      </w:tr>
      <w:tr>
        <w:tc>
          <w:tcPr>
            <w:tcW w:type="dxa" w:w="1877"/>
          </w:tcPr>
          <w:p>
            <w:r/>
            <w:r>
              <w:rPr>
                <w:sz w:val="18"/>
              </w:rPr>
              <w:t>Sukuk Direct</w:t>
            </w:r>
          </w:p>
        </w:tc>
        <w:tc>
          <w:tcPr>
            <w:tcW w:type="dxa" w:w="1877"/>
          </w:tcPr>
          <w:p>
            <w:r/>
            <w:r>
              <w:rPr>
                <w:sz w:val="18"/>
              </w:rPr>
              <w:t>__%</w:t>
            </w:r>
          </w:p>
        </w:tc>
        <w:tc>
          <w:tcPr>
            <w:tcW w:type="dxa" w:w="1877"/>
          </w:tcPr>
          <w:p>
            <w:r/>
            <w:r>
              <w:rPr>
                <w:sz w:val="18"/>
              </w:rPr>
              <w:t>__%</w:t>
            </w:r>
          </w:p>
        </w:tc>
        <w:tc>
          <w:tcPr>
            <w:tcW w:type="dxa" w:w="1877"/>
          </w:tcPr>
          <w:p>
            <w:r/>
            <w:r>
              <w:rPr>
                <w:sz w:val="18"/>
              </w:rPr>
              <w:t>__%</w:t>
            </w:r>
          </w:p>
        </w:tc>
        <w:tc>
          <w:tcPr>
            <w:tcW w:type="dxa" w:w="1877"/>
          </w:tcPr>
          <w:p>
            <w:r/>
            <w:r>
              <w:rPr>
                <w:sz w:val="18"/>
              </w:rPr>
              <w:t>__%</w:t>
            </w:r>
          </w:p>
        </w:tc>
      </w:tr>
      <w:tr>
        <w:tc>
          <w:tcPr>
            <w:tcW w:type="dxa" w:w="1877"/>
          </w:tcPr>
          <w:p>
            <w:r/>
            <w:r>
              <w:rPr>
                <w:sz w:val="18"/>
              </w:rPr>
              <w:t>TOTAL</w:t>
            </w:r>
          </w:p>
        </w:tc>
        <w:tc>
          <w:tcPr>
            <w:tcW w:type="dxa" w:w="1877"/>
          </w:tcPr>
          <w:p>
            <w:r/>
            <w:r>
              <w:rPr>
                <w:sz w:val="18"/>
              </w:rPr>
              <w:t>100%</w:t>
            </w:r>
          </w:p>
        </w:tc>
        <w:tc>
          <w:tcPr>
            <w:tcW w:type="dxa" w:w="1877"/>
          </w:tcPr>
          <w:p>
            <w:r/>
            <w:r>
              <w:rPr>
                <w:sz w:val="18"/>
              </w:rPr>
              <w:t>___%</w:t>
            </w:r>
          </w:p>
        </w:tc>
        <w:tc>
          <w:tcPr>
            <w:tcW w:type="dxa" w:w="1877"/>
          </w:tcPr>
          <w:p>
            <w:r/>
            <w:r>
              <w:rPr>
                <w:sz w:val="18"/>
              </w:rPr>
              <w:t>___%</w:t>
            </w:r>
          </w:p>
        </w:tc>
        <w:tc>
          <w:tcPr>
            <w:tcW w:type="dxa" w:w="1877"/>
          </w:tcPr>
          <w:p>
            <w:r/>
            <w:r>
              <w:rPr>
                <w:sz w:val="18"/>
              </w:rPr>
              <w:t>100%</w:t>
            </w:r>
          </w:p>
        </w:tc>
      </w:tr>
    </w:tbl>
    <w:p>
      <w:pPr>
        <w:spacing w:after="80"/>
      </w:pPr>
    </w:p>
    <w:p>
      <w:pPr>
        <w:pStyle w:val="Heading2"/>
        <w:spacing w:after="120"/>
      </w:pPr>
      <w:r>
        <w:t>Section 3: Instrument Selection</w:t>
      </w:r>
    </w:p>
    <w:tbl>
      <w:tblPr>
        <w:tblW w:type="auto" w:w="0"/>
        <w:tblLook w:firstColumn="1" w:firstRow="1" w:lastColumn="0" w:lastRow="0" w:noHBand="0" w:noVBand="1" w:val="04A0"/>
        <w:tblBorders>
          <w:top w:val="single" w:sz="4" w:color="1a6b3c"/>
          <w:left w:val="single" w:sz="4" w:color="1a6b3c"/>
          <w:bottom w:val="single" w:sz="4" w:color="1a6b3c"/>
          <w:right w:val="single" w:sz="4" w:color="1a6b3c"/>
          <w:insideH w:val="single" w:sz="4" w:color="1a6b3c"/>
          <w:insideV w:val="single" w:sz="4" w:color="1a6b3c"/>
        </w:tblBorders>
      </w:tblPr>
      <w:tblGrid>
        <w:gridCol w:w="1564"/>
        <w:gridCol w:w="1564"/>
        <w:gridCol w:w="1564"/>
        <w:gridCol w:w="1564"/>
        <w:gridCol w:w="1564"/>
        <w:gridCol w:w="1564"/>
      </w:tblGrid>
      <w:tr>
        <w:tc>
          <w:tcPr>
            <w:tcW w:type="dxa" w:w="1564"/>
            <w:shd w:val="clear" w:fill="e8f5e9"/>
          </w:tcPr>
          <w:p>
            <w:r/>
            <w:r>
              <w:rPr>
                <w:b/>
                <w:sz w:val="18"/>
              </w:rPr>
              <w:t>Instrument</w:t>
            </w:r>
          </w:p>
        </w:tc>
        <w:tc>
          <w:tcPr>
            <w:tcW w:type="dxa" w:w="1564"/>
            <w:shd w:val="clear" w:fill="e8f5e9"/>
          </w:tcPr>
          <w:p>
            <w:r/>
            <w:r>
              <w:rPr>
                <w:b/>
                <w:sz w:val="18"/>
              </w:rPr>
              <w:t>Manager/Issuer</w:t>
            </w:r>
          </w:p>
        </w:tc>
        <w:tc>
          <w:tcPr>
            <w:tcW w:type="dxa" w:w="1564"/>
            <w:shd w:val="clear" w:fill="e8f5e9"/>
          </w:tcPr>
          <w:p>
            <w:r/>
            <w:r>
              <w:rPr>
                <w:b/>
                <w:sz w:val="18"/>
              </w:rPr>
              <w:t>Entry Price</w:t>
            </w:r>
          </w:p>
        </w:tc>
        <w:tc>
          <w:tcPr>
            <w:tcW w:type="dxa" w:w="1564"/>
            <w:shd w:val="clear" w:fill="e8f5e9"/>
          </w:tcPr>
          <w:p>
            <w:r/>
            <w:r>
              <w:rPr>
                <w:b/>
                <w:sz w:val="18"/>
              </w:rPr>
              <w:t>Volume</w:t>
            </w:r>
          </w:p>
        </w:tc>
        <w:tc>
          <w:tcPr>
            <w:tcW w:type="dxa" w:w="1564"/>
            <w:shd w:val="clear" w:fill="e8f5e9"/>
          </w:tcPr>
          <w:p>
            <w:r/>
            <w:r>
              <w:rPr>
                <w:b/>
                <w:sz w:val="18"/>
              </w:rPr>
              <w:t>Target Exit</w:t>
            </w:r>
          </w:p>
        </w:tc>
        <w:tc>
          <w:tcPr>
            <w:tcW w:type="dxa" w:w="1564"/>
            <w:shd w:val="clear" w:fill="e8f5e9"/>
          </w:tcPr>
          <w:p>
            <w:r/>
            <w:r>
              <w:rPr>
                <w:b/>
                <w:sz w:val="18"/>
              </w:rPr>
              <w:t>Risk Rating</w:t>
            </w:r>
          </w:p>
        </w:tc>
      </w:tr>
      <w:tr>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r>
      <w:tr>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r>
      <w:tr>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r>
      <w:tr>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c>
          <w:tcPr>
            <w:tcW w:type="dxa" w:w="1564"/>
          </w:tcPr>
          <w:p>
            <w:r/>
            <w:r>
              <w:rPr>
                <w:sz w:val="18"/>
              </w:rPr>
            </w:r>
          </w:p>
        </w:tc>
      </w:tr>
    </w:tbl>
    <w:p>
      <w:pPr>
        <w:spacing w:after="80"/>
      </w:pPr>
    </w:p>
    <w:p>
      <w:pPr>
        <w:pStyle w:val="Heading2"/>
        <w:spacing w:after="120"/>
      </w:pPr>
      <w:r>
        <w:t>Section 4: Monitoring &amp; Rebalancing</w:t>
      </w:r>
    </w:p>
    <w:p>
      <w:pPr>
        <w:spacing w:after="160"/>
      </w:pPr>
      <w:r>
        <w:t>Review Date: ___/___/___ | Portfolio Value: Rp ____________</w:t>
      </w:r>
    </w:p>
    <w:p>
      <w:pPr>
        <w:spacing w:after="160"/>
      </w:pPr>
      <w:r>
        <w:t>Deviation from Target: ____% | Action: [ ] No action [ ] Rebalance [ ] Adjust allocation</w:t>
      </w:r>
    </w:p>
    <w:p>
      <w:pPr>
        <w:spacing w:after="160"/>
      </w:pPr>
      <w:r>
        <w:t>Notes: _____________________________________________________________</w:t>
      </w:r>
    </w:p>
    <w:p>
      <w:pPr>
        <w:pStyle w:val="Heading1"/>
        <w:spacing w:after="120"/>
      </w:pPr>
      <w:r>
        <w:t>LAMPIRAN D: RUBRIK PENILAIAN UTS &amp; UAS</w:t>
      </w:r>
    </w:p>
    <w:p>
      <w:pPr>
        <w:pStyle w:val="Heading3"/>
        <w:spacing w:after="120"/>
      </w:pPr>
      <w:r>
        <w:t>UTS Rubric (Presentasi Analisis Fundamental, 30%)</w:t>
      </w:r>
    </w:p>
    <w:tbl>
      <w:tblPr>
        <w:tblW w:type="auto" w:w="0"/>
        <w:tblLook w:firstColumn="1" w:firstRow="1" w:lastColumn="0" w:lastRow="0" w:noHBand="0" w:noVBand="1" w:val="04A0"/>
        <w:tblBorders>
          <w:top w:val="single" w:sz="4" w:color="1a6b3c"/>
          <w:left w:val="single" w:sz="4" w:color="1a6b3c"/>
          <w:bottom w:val="single" w:sz="4" w:color="1a6b3c"/>
          <w:right w:val="single" w:sz="4" w:color="1a6b3c"/>
          <w:insideH w:val="single" w:sz="4" w:color="1a6b3c"/>
          <w:insideV w:val="single" w:sz="4" w:color="1a6b3c"/>
        </w:tblBorders>
      </w:tblPr>
      <w:tblGrid>
        <w:gridCol w:w="1877"/>
        <w:gridCol w:w="1877"/>
        <w:gridCol w:w="1877"/>
        <w:gridCol w:w="1877"/>
        <w:gridCol w:w="1877"/>
      </w:tblGrid>
      <w:tr>
        <w:tc>
          <w:tcPr>
            <w:tcW w:type="dxa" w:w="1877"/>
            <w:shd w:val="clear" w:fill="e8f5e9"/>
          </w:tcPr>
          <w:p>
            <w:r/>
            <w:r>
              <w:rPr>
                <w:b/>
                <w:sz w:val="18"/>
              </w:rPr>
              <w:t>Kategori</w:t>
            </w:r>
          </w:p>
        </w:tc>
        <w:tc>
          <w:tcPr>
            <w:tcW w:type="dxa" w:w="1877"/>
            <w:shd w:val="clear" w:fill="e8f5e9"/>
          </w:tcPr>
          <w:p>
            <w:r/>
            <w:r>
              <w:rPr>
                <w:b/>
                <w:sz w:val="18"/>
              </w:rPr>
              <w:t>Excellent (90-100)</w:t>
            </w:r>
          </w:p>
        </w:tc>
        <w:tc>
          <w:tcPr>
            <w:tcW w:type="dxa" w:w="1877"/>
            <w:shd w:val="clear" w:fill="e8f5e9"/>
          </w:tcPr>
          <w:p>
            <w:r/>
            <w:r>
              <w:rPr>
                <w:b/>
                <w:sz w:val="18"/>
              </w:rPr>
              <w:t>Good (80-89)</w:t>
            </w:r>
          </w:p>
        </w:tc>
        <w:tc>
          <w:tcPr>
            <w:tcW w:type="dxa" w:w="1877"/>
            <w:shd w:val="clear" w:fill="e8f5e9"/>
          </w:tcPr>
          <w:p>
            <w:r/>
            <w:r>
              <w:rPr>
                <w:b/>
                <w:sz w:val="18"/>
              </w:rPr>
              <w:t>Fair (70-79)</w:t>
            </w:r>
          </w:p>
        </w:tc>
        <w:tc>
          <w:tcPr>
            <w:tcW w:type="dxa" w:w="1877"/>
            <w:shd w:val="clear" w:fill="e8f5e9"/>
          </w:tcPr>
          <w:p>
            <w:r/>
            <w:r>
              <w:rPr>
                <w:b/>
                <w:sz w:val="18"/>
              </w:rPr>
              <w:t>Poor (&lt;70)</w:t>
            </w:r>
          </w:p>
        </w:tc>
      </w:tr>
      <w:tr>
        <w:tc>
          <w:tcPr>
            <w:tcW w:type="dxa" w:w="1877"/>
          </w:tcPr>
          <w:p>
            <w:r/>
            <w:r>
              <w:rPr>
                <w:sz w:val="18"/>
              </w:rPr>
              <w:t>Content Accuracy</w:t>
            </w:r>
          </w:p>
        </w:tc>
        <w:tc>
          <w:tcPr>
            <w:tcW w:type="dxa" w:w="1877"/>
          </w:tcPr>
          <w:p>
            <w:r/>
            <w:r>
              <w:rPr>
                <w:sz w:val="18"/>
              </w:rPr>
              <w:t>All data verified, correct interpretation</w:t>
            </w:r>
          </w:p>
        </w:tc>
        <w:tc>
          <w:tcPr>
            <w:tcW w:type="dxa" w:w="1877"/>
          </w:tcPr>
          <w:p>
            <w:r/>
            <w:r>
              <w:rPr>
                <w:sz w:val="18"/>
              </w:rPr>
              <w:t>Minor data issues, good interpretation</w:t>
            </w:r>
          </w:p>
        </w:tc>
        <w:tc>
          <w:tcPr>
            <w:tcW w:type="dxa" w:w="1877"/>
          </w:tcPr>
          <w:p>
            <w:r/>
            <w:r>
              <w:rPr>
                <w:sz w:val="18"/>
              </w:rPr>
              <w:t>Some data/interpretation gaps</w:t>
            </w:r>
          </w:p>
        </w:tc>
        <w:tc>
          <w:tcPr>
            <w:tcW w:type="dxa" w:w="1877"/>
          </w:tcPr>
          <w:p>
            <w:r/>
            <w:r>
              <w:rPr>
                <w:sz w:val="18"/>
              </w:rPr>
              <w:t>Significant errors</w:t>
            </w:r>
          </w:p>
        </w:tc>
      </w:tr>
      <w:tr>
        <w:tc>
          <w:tcPr>
            <w:tcW w:type="dxa" w:w="1877"/>
          </w:tcPr>
          <w:p>
            <w:r/>
            <w:r>
              <w:rPr>
                <w:sz w:val="18"/>
              </w:rPr>
              <w:t>Analysis Depth</w:t>
            </w:r>
          </w:p>
        </w:tc>
        <w:tc>
          <w:tcPr>
            <w:tcW w:type="dxa" w:w="1877"/>
          </w:tcPr>
          <w:p>
            <w:r/>
            <w:r>
              <w:rPr>
                <w:sz w:val="18"/>
              </w:rPr>
              <w:t>Comprehensive fundamental analysis with 3-year trends, all ratios calculated, valuation methods applied</w:t>
            </w:r>
          </w:p>
        </w:tc>
        <w:tc>
          <w:tcPr>
            <w:tcW w:type="dxa" w:w="1877"/>
          </w:tcPr>
          <w:p>
            <w:r/>
            <w:r>
              <w:rPr>
                <w:sz w:val="18"/>
              </w:rPr>
              <w:t>Good analysis, most ratios calculated, basic valuation</w:t>
            </w:r>
          </w:p>
        </w:tc>
        <w:tc>
          <w:tcPr>
            <w:tcW w:type="dxa" w:w="1877"/>
          </w:tcPr>
          <w:p>
            <w:r/>
            <w:r>
              <w:rPr>
                <w:sz w:val="18"/>
              </w:rPr>
              <w:t>Surface-level analysis, missing ratios or valuation</w:t>
            </w:r>
          </w:p>
        </w:tc>
        <w:tc>
          <w:tcPr>
            <w:tcW w:type="dxa" w:w="1877"/>
          </w:tcPr>
          <w:p>
            <w:r/>
            <w:r>
              <w:rPr>
                <w:sz w:val="18"/>
              </w:rPr>
              <w:t>Minimal analysis, no valuation</w:t>
            </w:r>
          </w:p>
        </w:tc>
      </w:tr>
      <w:tr>
        <w:tc>
          <w:tcPr>
            <w:tcW w:type="dxa" w:w="1877"/>
          </w:tcPr>
          <w:p>
            <w:r/>
            <w:r>
              <w:rPr>
                <w:sz w:val="18"/>
              </w:rPr>
              <w:t>Recommendation Justification</w:t>
            </w:r>
          </w:p>
        </w:tc>
        <w:tc>
          <w:tcPr>
            <w:tcW w:type="dxa" w:w="1877"/>
          </w:tcPr>
          <w:p>
            <w:r/>
            <w:r>
              <w:rPr>
                <w:sz w:val="18"/>
              </w:rPr>
              <w:t>Clear, data-driven recommendation with risk/opportunity assessment</w:t>
            </w:r>
          </w:p>
        </w:tc>
        <w:tc>
          <w:tcPr>
            <w:tcW w:type="dxa" w:w="1877"/>
          </w:tcPr>
          <w:p>
            <w:r/>
            <w:r>
              <w:rPr>
                <w:sz w:val="18"/>
              </w:rPr>
              <w:t>Reasonable recommendation with some justification</w:t>
            </w:r>
          </w:p>
        </w:tc>
        <w:tc>
          <w:tcPr>
            <w:tcW w:type="dxa" w:w="1877"/>
          </w:tcPr>
          <w:p>
            <w:r/>
            <w:r>
              <w:rPr>
                <w:sz w:val="18"/>
              </w:rPr>
              <w:t>Weak justification, unclear rationale</w:t>
            </w:r>
          </w:p>
        </w:tc>
        <w:tc>
          <w:tcPr>
            <w:tcW w:type="dxa" w:w="1877"/>
          </w:tcPr>
          <w:p>
            <w:r/>
            <w:r>
              <w:rPr>
                <w:sz w:val="18"/>
              </w:rPr>
              <w:t>No clear recommendation</w:t>
            </w:r>
          </w:p>
        </w:tc>
      </w:tr>
      <w:tr>
        <w:tc>
          <w:tcPr>
            <w:tcW w:type="dxa" w:w="1877"/>
          </w:tcPr>
          <w:p>
            <w:r/>
            <w:r>
              <w:rPr>
                <w:sz w:val="18"/>
              </w:rPr>
              <w:t>Presentation Quality</w:t>
            </w:r>
          </w:p>
        </w:tc>
        <w:tc>
          <w:tcPr>
            <w:tcW w:type="dxa" w:w="1877"/>
          </w:tcPr>
          <w:p>
            <w:r/>
            <w:r>
              <w:rPr>
                <w:sz w:val="18"/>
              </w:rPr>
              <w:t>Clear delivery, well-organized, engaging</w:t>
            </w:r>
          </w:p>
        </w:tc>
        <w:tc>
          <w:tcPr>
            <w:tcW w:type="dxa" w:w="1877"/>
          </w:tcPr>
          <w:p>
            <w:r/>
            <w:r>
              <w:rPr>
                <w:sz w:val="18"/>
              </w:rPr>
              <w:t>Mostly clear, organized, professional</w:t>
            </w:r>
          </w:p>
        </w:tc>
        <w:tc>
          <w:tcPr>
            <w:tcW w:type="dxa" w:w="1877"/>
          </w:tcPr>
          <w:p>
            <w:r/>
            <w:r>
              <w:rPr>
                <w:sz w:val="18"/>
              </w:rPr>
              <w:t>Some clarity issues, disorganized</w:t>
            </w:r>
          </w:p>
        </w:tc>
        <w:tc>
          <w:tcPr>
            <w:tcW w:type="dxa" w:w="1877"/>
          </w:tcPr>
          <w:p>
            <w:r/>
            <w:r>
              <w:rPr>
                <w:sz w:val="18"/>
              </w:rPr>
              <w:t>Unclear, unprofessional delivery</w:t>
            </w:r>
          </w:p>
        </w:tc>
      </w:tr>
    </w:tbl>
    <w:p>
      <w:pPr>
        <w:spacing w:after="80"/>
      </w:pPr>
    </w:p>
    <w:p>
      <w:pPr>
        <w:pStyle w:val="Heading3"/>
        <w:spacing w:after="120"/>
      </w:pPr>
      <w:r>
        <w:t>UAS Rubric (Portfolio Proposal, 35%)</w:t>
      </w:r>
    </w:p>
    <w:tbl>
      <w:tblPr>
        <w:tblW w:type="auto" w:w="0"/>
        <w:tblLook w:firstColumn="1" w:firstRow="1" w:lastColumn="0" w:lastRow="0" w:noHBand="0" w:noVBand="1" w:val="04A0"/>
        <w:tblBorders>
          <w:top w:val="single" w:sz="4" w:color="1a6b3c"/>
          <w:left w:val="single" w:sz="4" w:color="1a6b3c"/>
          <w:bottom w:val="single" w:sz="4" w:color="1a6b3c"/>
          <w:right w:val="single" w:sz="4" w:color="1a6b3c"/>
          <w:insideH w:val="single" w:sz="4" w:color="1a6b3c"/>
          <w:insideV w:val="single" w:sz="4" w:color="1a6b3c"/>
        </w:tblBorders>
      </w:tblPr>
      <w:tblGrid>
        <w:gridCol w:w="1877"/>
        <w:gridCol w:w="1877"/>
        <w:gridCol w:w="1877"/>
        <w:gridCol w:w="1877"/>
        <w:gridCol w:w="1877"/>
      </w:tblGrid>
      <w:tr>
        <w:tc>
          <w:tcPr>
            <w:tcW w:type="dxa" w:w="1877"/>
            <w:shd w:val="clear" w:fill="e8f5e9"/>
          </w:tcPr>
          <w:p>
            <w:r/>
            <w:r>
              <w:rPr>
                <w:b/>
                <w:sz w:val="18"/>
              </w:rPr>
              <w:t>Kategori</w:t>
            </w:r>
          </w:p>
        </w:tc>
        <w:tc>
          <w:tcPr>
            <w:tcW w:type="dxa" w:w="1877"/>
            <w:shd w:val="clear" w:fill="e8f5e9"/>
          </w:tcPr>
          <w:p>
            <w:r/>
            <w:r>
              <w:rPr>
                <w:b/>
                <w:sz w:val="18"/>
              </w:rPr>
              <w:t>Excellent (90-100)</w:t>
            </w:r>
          </w:p>
        </w:tc>
        <w:tc>
          <w:tcPr>
            <w:tcW w:type="dxa" w:w="1877"/>
            <w:shd w:val="clear" w:fill="e8f5e9"/>
          </w:tcPr>
          <w:p>
            <w:r/>
            <w:r>
              <w:rPr>
                <w:b/>
                <w:sz w:val="18"/>
              </w:rPr>
              <w:t>Good (80-89)</w:t>
            </w:r>
          </w:p>
        </w:tc>
        <w:tc>
          <w:tcPr>
            <w:tcW w:type="dxa" w:w="1877"/>
            <w:shd w:val="clear" w:fill="e8f5e9"/>
          </w:tcPr>
          <w:p>
            <w:r/>
            <w:r>
              <w:rPr>
                <w:b/>
                <w:sz w:val="18"/>
              </w:rPr>
              <w:t>Fair (70-79)</w:t>
            </w:r>
          </w:p>
        </w:tc>
        <w:tc>
          <w:tcPr>
            <w:tcW w:type="dxa" w:w="1877"/>
            <w:shd w:val="clear" w:fill="e8f5e9"/>
          </w:tcPr>
          <w:p>
            <w:r/>
            <w:r>
              <w:rPr>
                <w:b/>
                <w:sz w:val="18"/>
              </w:rPr>
              <w:t>Poor (&lt;70)</w:t>
            </w:r>
          </w:p>
        </w:tc>
      </w:tr>
      <w:tr>
        <w:tc>
          <w:tcPr>
            <w:tcW w:type="dxa" w:w="1877"/>
          </w:tcPr>
          <w:p>
            <w:r/>
            <w:r>
              <w:rPr>
                <w:sz w:val="18"/>
              </w:rPr>
              <w:t>Portfolio Logic</w:t>
            </w:r>
          </w:p>
        </w:tc>
        <w:tc>
          <w:tcPr>
            <w:tcW w:type="dxa" w:w="1877"/>
          </w:tcPr>
          <w:p>
            <w:r/>
            <w:r>
              <w:rPr>
                <w:sz w:val="18"/>
              </w:rPr>
              <w:t>Asset allocation perfectly matched to profile, diversification excellent, risk/return aligned</w:t>
            </w:r>
          </w:p>
        </w:tc>
        <w:tc>
          <w:tcPr>
            <w:tcW w:type="dxa" w:w="1877"/>
          </w:tcPr>
          <w:p>
            <w:r/>
            <w:r>
              <w:rPr>
                <w:sz w:val="18"/>
              </w:rPr>
              <w:t>Good alignment, decent diversification, risk/return reasonable</w:t>
            </w:r>
          </w:p>
        </w:tc>
        <w:tc>
          <w:tcPr>
            <w:tcW w:type="dxa" w:w="1877"/>
          </w:tcPr>
          <w:p>
            <w:r/>
            <w:r>
              <w:rPr>
                <w:sz w:val="18"/>
              </w:rPr>
              <w:t>Some alignment issues, limited diversification</w:t>
            </w:r>
          </w:p>
        </w:tc>
        <w:tc>
          <w:tcPr>
            <w:tcW w:type="dxa" w:w="1877"/>
          </w:tcPr>
          <w:p>
            <w:r/>
            <w:r>
              <w:rPr>
                <w:sz w:val="18"/>
              </w:rPr>
              <w:t>Misaligned, poor diversification</w:t>
            </w:r>
          </w:p>
        </w:tc>
      </w:tr>
      <w:tr>
        <w:tc>
          <w:tcPr>
            <w:tcW w:type="dxa" w:w="1877"/>
          </w:tcPr>
          <w:p>
            <w:r/>
            <w:r>
              <w:rPr>
                <w:sz w:val="18"/>
              </w:rPr>
              <w:t>Analysis Quality</w:t>
            </w:r>
          </w:p>
        </w:tc>
        <w:tc>
          <w:tcPr>
            <w:tcW w:type="dxa" w:w="1877"/>
          </w:tcPr>
          <w:p>
            <w:r/>
            <w:r>
              <w:rPr>
                <w:sz w:val="18"/>
              </w:rPr>
              <w:t>Comprehensive fundamental + technical analysis per instrument, strong valuation</w:t>
            </w:r>
          </w:p>
        </w:tc>
        <w:tc>
          <w:tcPr>
            <w:tcW w:type="dxa" w:w="1877"/>
          </w:tcPr>
          <w:p>
            <w:r/>
            <w:r>
              <w:rPr>
                <w:sz w:val="18"/>
              </w:rPr>
              <w:t>Good analysis, most instruments covered, reasonable valuation</w:t>
            </w:r>
          </w:p>
        </w:tc>
        <w:tc>
          <w:tcPr>
            <w:tcW w:type="dxa" w:w="1877"/>
          </w:tcPr>
          <w:p>
            <w:r/>
            <w:r>
              <w:rPr>
                <w:sz w:val="18"/>
              </w:rPr>
              <w:t>Partial analysis, missing technical/fundamental on some</w:t>
            </w:r>
          </w:p>
        </w:tc>
        <w:tc>
          <w:tcPr>
            <w:tcW w:type="dxa" w:w="1877"/>
          </w:tcPr>
          <w:p>
            <w:r/>
            <w:r>
              <w:rPr>
                <w:sz w:val="18"/>
              </w:rPr>
              <w:t>Minimal analysis, weak valuation</w:t>
            </w:r>
          </w:p>
        </w:tc>
      </w:tr>
      <w:tr>
        <w:tc>
          <w:tcPr>
            <w:tcW w:type="dxa" w:w="1877"/>
          </w:tcPr>
          <w:p>
            <w:r/>
            <w:r>
              <w:rPr>
                <w:sz w:val="18"/>
              </w:rPr>
              <w:t>Risk Management</w:t>
            </w:r>
          </w:p>
        </w:tc>
        <w:tc>
          <w:tcPr>
            <w:tcW w:type="dxa" w:w="1877"/>
          </w:tcPr>
          <w:p>
            <w:r/>
            <w:r>
              <w:rPr>
                <w:sz w:val="18"/>
              </w:rPr>
              <w:t>Explicit risk identification, Sharpe ratio calculated, scenario analysis, rebalancing plan clear</w:t>
            </w:r>
          </w:p>
        </w:tc>
        <w:tc>
          <w:tcPr>
            <w:tcW w:type="dxa" w:w="1877"/>
          </w:tcPr>
          <w:p>
            <w:r/>
            <w:r>
              <w:rPr>
                <w:sz w:val="18"/>
              </w:rPr>
              <w:t>Good risk discussion, some metrics, rebalancing mentioned</w:t>
            </w:r>
          </w:p>
        </w:tc>
        <w:tc>
          <w:tcPr>
            <w:tcW w:type="dxa" w:w="1877"/>
          </w:tcPr>
          <w:p>
            <w:r/>
            <w:r>
              <w:rPr>
                <w:sz w:val="18"/>
              </w:rPr>
              <w:t>Basic risk discussion, limited metrics</w:t>
            </w:r>
          </w:p>
        </w:tc>
        <w:tc>
          <w:tcPr>
            <w:tcW w:type="dxa" w:w="1877"/>
          </w:tcPr>
          <w:p>
            <w:r/>
            <w:r>
              <w:rPr>
                <w:sz w:val="18"/>
              </w:rPr>
              <w:t>Minimal risk discussion</w:t>
            </w:r>
          </w:p>
        </w:tc>
      </w:tr>
      <w:tr>
        <w:tc>
          <w:tcPr>
            <w:tcW w:type="dxa" w:w="1877"/>
          </w:tcPr>
          <w:p>
            <w:r/>
            <w:r>
              <w:rPr>
                <w:sz w:val="18"/>
              </w:rPr>
              <w:t>Documentation</w:t>
            </w:r>
          </w:p>
        </w:tc>
        <w:tc>
          <w:tcPr>
            <w:tcW w:type="dxa" w:w="1877"/>
          </w:tcPr>
          <w:p>
            <w:r/>
            <w:r>
              <w:rPr>
                <w:sz w:val="18"/>
              </w:rPr>
              <w:t>Well-written (15+ pages), APA citations (15+ sources), professional formatting</w:t>
            </w:r>
          </w:p>
        </w:tc>
        <w:tc>
          <w:tcPr>
            <w:tcW w:type="dxa" w:w="1877"/>
          </w:tcPr>
          <w:p>
            <w:r/>
            <w:r>
              <w:rPr>
                <w:sz w:val="18"/>
              </w:rPr>
              <w:t>Good writing (14-15 pages), adequate citations (12-14 sources), good formatting</w:t>
            </w:r>
          </w:p>
        </w:tc>
        <w:tc>
          <w:tcPr>
            <w:tcW w:type="dxa" w:w="1877"/>
          </w:tcPr>
          <w:p>
            <w:r/>
            <w:r>
              <w:rPr>
                <w:sz w:val="18"/>
              </w:rPr>
              <w:t>Adequate writing (10-13 pages), limited citations (8-11 sources), basic formatting</w:t>
            </w:r>
          </w:p>
        </w:tc>
        <w:tc>
          <w:tcPr>
            <w:tcW w:type="dxa" w:w="1877"/>
          </w:tcPr>
          <w:p>
            <w:r/>
            <w:r>
              <w:rPr>
                <w:sz w:val="18"/>
              </w:rPr>
              <w:t>Poor writing (&lt;10 pages), minimal citations (&lt;8 sources)</w:t>
            </w:r>
          </w:p>
        </w:tc>
      </w:tr>
    </w:tbl>
    <w:p>
      <w:pPr>
        <w:spacing w:after="80"/>
      </w:pPr>
    </w:p>
    <w:p>
      <w:pPr>
        <w:pStyle w:val="Heading1"/>
        <w:spacing w:after="120"/>
      </w:pPr>
      <w:r>
        <w:t>PENUTUP</w:t>
      </w:r>
    </w:p>
    <w:p>
      <w:pPr>
        <w:spacing w:after="120"/>
      </w:pPr>
      <w:r>
        <w:t>Modul pembelajaran "Pasar Modal dan Investasi Syariah" ini merupakan panduan komprehensif bagi mahasiswa untuk menguasai teori dan praktik investasi halal di pasar modal Indonesia. Dengan mengikuti seluruh modul ini secara konsisten, menyelesaikan setiap aktivitas pembelajaran, dan berkomitmen pada nilai-nilai syariah dalam setiap keputusan investasi, mahasiswa diharapkan dapat menjadi profesional jasa keuangan syariah yang berkontribusi positif dalam pengembangan ekosistem keuangan Islam Indonesia.</w:t>
      </w:r>
    </w:p>
    <w:p>
      <w:pPr>
        <w:spacing w:after="120"/>
      </w:pPr>
      <w:r>
        <w:t>Investasi bukan hanya tentang returns finansial, tetapi juga tentang amanah, integritas, dan tanggung jawab sosial. Semoga ilmu yang didapat dari modul ini menjadi bekal untuk menjadi investor dan profesional keuangan syariah yang sukses dan bertakwa.</w:t>
      </w:r>
    </w:p>
    <w:p>
      <w:pPr>
        <w:spacing w:after="40"/>
      </w:pPr>
      <w:r/>
    </w:p>
    <w:p>
      <w:pPr>
        <w:spacing w:after="720"/>
      </w:pPr>
      <w:r>
        <w:t>Bandung Barat, Agustus 2026</w:t>
      </w:r>
    </w:p>
    <w:p>
      <w:pPr>
        <w:spacing w:after="120"/>
      </w:pPr>
      <w:r>
        <w:rPr>
          <w:b/>
        </w:rPr>
        <w:t>Tim Penyusun Modul</w:t>
      </w:r>
    </w:p>
    <w:sectPr w:rsidR="00AA57AA">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670E0" w14:textId="77777777" w:rsidR="000B7576" w:rsidRDefault="000B7576">
      <w:r>
        <w:separator/>
      </w:r>
    </w:p>
  </w:endnote>
  <w:endnote w:type="continuationSeparator" w:id="0">
    <w:p w14:paraId="0A24C8EE" w14:textId="77777777" w:rsidR="000B7576" w:rsidRDefault="000B7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7349" w14:textId="77777777" w:rsidR="00AA57AA" w:rsidRDefault="000B7576">
    <w:pPr>
      <w:pBdr>
        <w:top w:val="single" w:sz="4" w:space="4" w:color="1B5E20"/>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r>
      <w:rPr>
        <w:color w:val="999999"/>
        <w:sz w:val="16"/>
        <w:szCs w:val="16"/>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29118" w14:textId="77777777" w:rsidR="000B7576" w:rsidRDefault="000B7576">
      <w:r>
        <w:separator/>
      </w:r>
    </w:p>
  </w:footnote>
  <w:footnote w:type="continuationSeparator" w:id="0">
    <w:p w14:paraId="1210402F" w14:textId="77777777" w:rsidR="000B7576" w:rsidRDefault="000B7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5DBC" w14:textId="77777777" w:rsidR="00AA57AA" w:rsidRDefault="000B7576">
    <w:pPr>
      <w:pBdr>
        <w:bottom w:val="single" w:sz="6" w:space="4" w:color="1B5E20"/>
      </w:pBdr>
      <w:spacing w:after="60"/>
      <w:jc w:val="right"/>
    </w:pPr>
    <w:r>
      <w:rPr>
        <w:color w:val="2E7D32"/>
        <w:sz w:val="18"/>
        <w:szCs w:val="18"/>
      </w:rPr>
      <w:t>MODUL | Pasar Modal &amp; Investasi Syariah | MKI11321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75344"/>
    <w:multiLevelType w:val="hybridMultilevel"/>
    <w:tmpl w:val="FFFFFFFF"/>
    <w:lvl w:ilvl="0" w:tplc="62B8A836">
      <w:start w:val="1"/>
      <w:numFmt w:val="decimal"/>
      <w:lvlText w:val="%1."/>
      <w:lvlJc w:val="left"/>
      <w:pPr>
        <w:ind w:left="720" w:hanging="360"/>
      </w:pPr>
    </w:lvl>
    <w:lvl w:ilvl="1" w:tplc="CAEAF038">
      <w:numFmt w:val="decimal"/>
      <w:lvlText w:val=""/>
      <w:lvlJc w:val="left"/>
    </w:lvl>
    <w:lvl w:ilvl="2" w:tplc="1F66140A">
      <w:numFmt w:val="decimal"/>
      <w:lvlText w:val=""/>
      <w:lvlJc w:val="left"/>
    </w:lvl>
    <w:lvl w:ilvl="3" w:tplc="36F4B77E">
      <w:numFmt w:val="decimal"/>
      <w:lvlText w:val=""/>
      <w:lvlJc w:val="left"/>
    </w:lvl>
    <w:lvl w:ilvl="4" w:tplc="0430E104">
      <w:numFmt w:val="decimal"/>
      <w:lvlText w:val=""/>
      <w:lvlJc w:val="left"/>
    </w:lvl>
    <w:lvl w:ilvl="5" w:tplc="DB7493CE">
      <w:numFmt w:val="decimal"/>
      <w:lvlText w:val=""/>
      <w:lvlJc w:val="left"/>
    </w:lvl>
    <w:lvl w:ilvl="6" w:tplc="F37ED162">
      <w:numFmt w:val="decimal"/>
      <w:lvlText w:val=""/>
      <w:lvlJc w:val="left"/>
    </w:lvl>
    <w:lvl w:ilvl="7" w:tplc="4FCA7C02">
      <w:numFmt w:val="decimal"/>
      <w:lvlText w:val=""/>
      <w:lvlJc w:val="left"/>
    </w:lvl>
    <w:lvl w:ilvl="8" w:tplc="EB7C91DC">
      <w:numFmt w:val="decimal"/>
      <w:lvlText w:val=""/>
      <w:lvlJc w:val="left"/>
    </w:lvl>
  </w:abstractNum>
  <w:abstractNum w:abstractNumId="1" w15:restartNumberingAfterBreak="0">
    <w:nsid w:val="6E533CCB"/>
    <w:multiLevelType w:val="hybridMultilevel"/>
    <w:tmpl w:val="FFFFFFFF"/>
    <w:lvl w:ilvl="0" w:tplc="0076F8F2">
      <w:start w:val="1"/>
      <w:numFmt w:val="bullet"/>
      <w:lvlText w:val="•"/>
      <w:lvlJc w:val="left"/>
      <w:pPr>
        <w:ind w:left="720" w:hanging="360"/>
      </w:pPr>
    </w:lvl>
    <w:lvl w:ilvl="1" w:tplc="FA7C24C2">
      <w:numFmt w:val="decimal"/>
      <w:lvlText w:val=""/>
      <w:lvlJc w:val="left"/>
    </w:lvl>
    <w:lvl w:ilvl="2" w:tplc="8B46A486">
      <w:numFmt w:val="decimal"/>
      <w:lvlText w:val=""/>
      <w:lvlJc w:val="left"/>
    </w:lvl>
    <w:lvl w:ilvl="3" w:tplc="2D602960">
      <w:numFmt w:val="decimal"/>
      <w:lvlText w:val=""/>
      <w:lvlJc w:val="left"/>
    </w:lvl>
    <w:lvl w:ilvl="4" w:tplc="BF76CCD4">
      <w:numFmt w:val="decimal"/>
      <w:lvlText w:val=""/>
      <w:lvlJc w:val="left"/>
    </w:lvl>
    <w:lvl w:ilvl="5" w:tplc="6A12AB7E">
      <w:numFmt w:val="decimal"/>
      <w:lvlText w:val=""/>
      <w:lvlJc w:val="left"/>
    </w:lvl>
    <w:lvl w:ilvl="6" w:tplc="86529E2A">
      <w:numFmt w:val="decimal"/>
      <w:lvlText w:val=""/>
      <w:lvlJc w:val="left"/>
    </w:lvl>
    <w:lvl w:ilvl="7" w:tplc="1C5A2CD2">
      <w:numFmt w:val="decimal"/>
      <w:lvlText w:val=""/>
      <w:lvlJc w:val="left"/>
    </w:lvl>
    <w:lvl w:ilvl="8" w:tplc="CB7CD52E">
      <w:numFmt w:val="decimal"/>
      <w:lvlText w:val=""/>
      <w:lvlJc w:val="left"/>
    </w:lvl>
  </w:abstractNum>
  <w:abstractNum w:abstractNumId="2" w15:restartNumberingAfterBreak="0">
    <w:nsid w:val="77D46290"/>
    <w:multiLevelType w:val="hybridMultilevel"/>
    <w:tmpl w:val="FFFFFFFF"/>
    <w:lvl w:ilvl="0" w:tplc="123492E8">
      <w:start w:val="1"/>
      <w:numFmt w:val="bullet"/>
      <w:lvlText w:val="●"/>
      <w:lvlJc w:val="left"/>
      <w:pPr>
        <w:ind w:left="720" w:hanging="360"/>
      </w:pPr>
    </w:lvl>
    <w:lvl w:ilvl="1" w:tplc="5A3E626C">
      <w:start w:val="1"/>
      <w:numFmt w:val="bullet"/>
      <w:lvlText w:val="○"/>
      <w:lvlJc w:val="left"/>
      <w:pPr>
        <w:ind w:left="1440" w:hanging="360"/>
      </w:pPr>
    </w:lvl>
    <w:lvl w:ilvl="2" w:tplc="66D44438">
      <w:start w:val="1"/>
      <w:numFmt w:val="bullet"/>
      <w:lvlText w:val="■"/>
      <w:lvlJc w:val="left"/>
      <w:pPr>
        <w:ind w:left="2160" w:hanging="360"/>
      </w:pPr>
    </w:lvl>
    <w:lvl w:ilvl="3" w:tplc="636A51B4">
      <w:start w:val="1"/>
      <w:numFmt w:val="bullet"/>
      <w:lvlText w:val="●"/>
      <w:lvlJc w:val="left"/>
      <w:pPr>
        <w:ind w:left="2880" w:hanging="360"/>
      </w:pPr>
    </w:lvl>
    <w:lvl w:ilvl="4" w:tplc="C7081C60">
      <w:start w:val="1"/>
      <w:numFmt w:val="bullet"/>
      <w:lvlText w:val="○"/>
      <w:lvlJc w:val="left"/>
      <w:pPr>
        <w:ind w:left="3600" w:hanging="360"/>
      </w:pPr>
    </w:lvl>
    <w:lvl w:ilvl="5" w:tplc="0F6E5DF2">
      <w:start w:val="1"/>
      <w:numFmt w:val="bullet"/>
      <w:lvlText w:val="■"/>
      <w:lvlJc w:val="left"/>
      <w:pPr>
        <w:ind w:left="4320" w:hanging="360"/>
      </w:pPr>
    </w:lvl>
    <w:lvl w:ilvl="6" w:tplc="973C51BE">
      <w:start w:val="1"/>
      <w:numFmt w:val="bullet"/>
      <w:lvlText w:val="●"/>
      <w:lvlJc w:val="left"/>
      <w:pPr>
        <w:ind w:left="5040" w:hanging="360"/>
      </w:pPr>
    </w:lvl>
    <w:lvl w:ilvl="7" w:tplc="72C8DF86">
      <w:start w:val="1"/>
      <w:numFmt w:val="bullet"/>
      <w:lvlText w:val="●"/>
      <w:lvlJc w:val="left"/>
      <w:pPr>
        <w:ind w:left="5760" w:hanging="360"/>
      </w:pPr>
    </w:lvl>
    <w:lvl w:ilvl="8" w:tplc="B00AEF84">
      <w:start w:val="1"/>
      <w:numFmt w:val="bullet"/>
      <w:lvlText w:val="●"/>
      <w:lvlJc w:val="left"/>
      <w:pPr>
        <w:ind w:left="6480" w:hanging="360"/>
      </w:pPr>
    </w:lvl>
  </w:abstractNum>
  <w:num w:numId="1" w16cid:durableId="1361855547">
    <w:abstractNumId w:val="2"/>
    <w:lvlOverride w:ilvl="0">
      <w:startOverride w:val="1"/>
    </w:lvlOverride>
  </w:num>
  <w:num w:numId="2" w16cid:durableId="69817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7AA"/>
    <w:rsid w:val="000B7576"/>
    <w:rsid w:val="00377EFA"/>
    <w:rsid w:val="00AA57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6914DC6"/>
  <w15:docId w15:val="{0A2B5EC7-EB19-1C44-A517-24463E93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2731</Words>
  <Characters>15570</Characters>
  <Application>Microsoft Office Word</Application>
  <DocSecurity>0</DocSecurity>
  <Lines>129</Lines>
  <Paragraphs>36</Paragraphs>
  <ScaleCrop>false</ScaleCrop>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2026-07-20T23:19:00Z</dcterms:created>
  <dcterms:modified xsi:type="dcterms:W3CDTF">2026-07-20T23:19:00Z</dcterms:modified>
</cp:coreProperties>
</file>