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80" w:before="0"/>
        <w:jc w:val="center"/>
      </w:pPr>
      <w:r>
        <w:rPr>
          <w:rFonts w:ascii="Times New Roman" w:cs="Times New Roman" w:eastAsia="Times New Roman" w:hAnsi="Times New Roman"/>
          <w:b/>
          <w:bCs/>
          <w:color w:val="0D47A1"/>
          <w:sz w:val="36"/>
          <w:szCs w:val="36"/>
        </w:rPr>
        <w:t xml:space="preserve">RENCANA PEMBELAJARAN SEMESTER (RPS)</w:t>
      </w:r>
    </w:p>
    <w:p>
      <w:pPr>
        <w:pBdr>
          <w:bottom w:val="thick" w:color="00ACC1" w:sz="12" w:space="4"/>
        </w:pBdr>
        <w:spacing w:after="80" w:before="0"/>
        <w:jc w:val="center"/>
      </w:pPr>
      <w:r>
        <w:rPr>
          <w:sz w:val="28"/>
          <w:szCs w:val="28"/>
        </w:rPr>
        <w:t xml:space="preserve"/>
      </w:r>
    </w:p>
    <w:p>
      <w:pPr>
        <w:spacing w:after="160" w:before="0"/>
      </w:pPr>
      <w:r>
        <w:t xml:space="preserve"/>
      </w:r>
    </w:p>
    <w:p>
      <w:pPr>
        <w:spacing w:after="60" w:before="60"/>
        <w:jc w:val="center"/>
      </w:pPr>
      <w:r>
        <w:rPr>
          <w:rFonts w:ascii="Times New Roman" w:cs="Times New Roman" w:eastAsia="Times New Roman" w:hAnsi="Times New Roman"/>
          <w:b/>
          <w:bCs/>
          <w:color w:val="0D47A1"/>
          <w:sz w:val="48"/>
          <w:szCs w:val="48"/>
        </w:rPr>
        <w:t xml:space="preserve">BISNIS DIGITAL</w:t>
      </w:r>
    </w:p>
    <w:p>
      <w:pPr>
        <w:spacing w:after="60" w:before="0"/>
        <w:jc w:val="center"/>
      </w:pPr>
      <w:r>
        <w:rPr>
          <w:rFonts w:ascii="Times New Roman" w:cs="Times New Roman" w:eastAsia="Times New Roman" w:hAnsi="Times New Roman"/>
          <w:color w:val="1565C0"/>
          <w:sz w:val="24"/>
          <w:szCs w:val="24"/>
        </w:rPr>
        <w:t xml:space="preserve">(Digital Business in Islamic Economy Context)</w:t>
      </w:r>
    </w:p>
    <w:p>
      <w:pPr>
        <w:spacing w:after="240" w:before="40"/>
        <w:jc w:val="center"/>
      </w:pPr>
      <w:r>
        <w:rPr>
          <w:rFonts w:ascii="Times New Roman" w:cs="Times New Roman" w:eastAsia="Times New Roman" w:hAnsi="Times New Roman"/>
          <w:b/>
          <w:bCs/>
          <w:color w:val="00ACC1"/>
          <w:sz w:val="24"/>
          <w:szCs w:val="24"/>
        </w:rPr>
        <w:t xml:space="preserve">Kode MK: MKI11102 / MKI12102  |  2 SKS  |  Semester VI</w:t>
      </w:r>
    </w:p>
    <w:p>
      <w:pPr>
        <w:spacing w:after="300" w:before="0"/>
      </w:pPr>
      <w: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tblGrid>
      <w:tr>
        <w:tc>
          <w:tcPr>
            <w:tcW w:type="dxa" w:w="2800"/>
            <w:tcBorders>
              <w:top w:val="none"/>
              <w:left w:val="none"/>
              <w:bottom w:val="none"/>
              <w:right w:val="none"/>
            </w:tcBorders>
            <w:tcMar>
              <w:top w:type="dxa" w:w="60"/>
              <w:left w:type="dxa" w:w="0"/>
              <w:bottom w:type="dxa" w:w="60"/>
              <w:right w:type="dxa" w:w="120"/>
            </w:tcMar>
          </w:tcPr>
          <w:p>
            <w:pPr>
              <w:jc w:val="right"/>
            </w:pPr>
            <w:r>
              <w:rPr>
                <w:rFonts w:ascii="Times New Roman" w:cs="Times New Roman" w:eastAsia="Times New Roman" w:hAnsi="Times New Roman"/>
                <w:b/>
                <w:bCs/>
                <w:color w:val="0D47A1"/>
                <w:sz w:val="22"/>
                <w:szCs w:val="22"/>
              </w:rPr>
              <w:t xml:space="preserve">Program Studi</w:t>
            </w:r>
          </w:p>
        </w:tc>
        <w:tc>
          <w:tcPr>
            <w:tcW w:type="dxa" w:w="480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color w:val="000000"/>
                <w:sz w:val="22"/>
                <w:szCs w:val="22"/>
              </w:rPr>
              <w:t xml:space="preserve">: Ekonomi Syariah &amp; Perbankan Syariah</w:t>
            </w:r>
          </w:p>
        </w:tc>
      </w:tr>
      <w:tr>
        <w:tc>
          <w:tcPr>
            <w:tcW w:type="dxa" w:w="2800"/>
            <w:tcBorders>
              <w:top w:val="none"/>
              <w:left w:val="none"/>
              <w:bottom w:val="none"/>
              <w:right w:val="none"/>
            </w:tcBorders>
            <w:tcMar>
              <w:top w:type="dxa" w:w="60"/>
              <w:left w:type="dxa" w:w="0"/>
              <w:bottom w:type="dxa" w:w="60"/>
              <w:right w:type="dxa" w:w="120"/>
            </w:tcMar>
          </w:tcPr>
          <w:p>
            <w:pPr>
              <w:jc w:val="right"/>
            </w:pPr>
            <w:r>
              <w:rPr>
                <w:rFonts w:ascii="Times New Roman" w:cs="Times New Roman" w:eastAsia="Times New Roman" w:hAnsi="Times New Roman"/>
                <w:b/>
                <w:bCs/>
                <w:color w:val="0D47A1"/>
                <w:sz w:val="22"/>
                <w:szCs w:val="22"/>
              </w:rPr>
              <w:t xml:space="preserve">Dosen Pengampu</w:t>
            </w:r>
          </w:p>
        </w:tc>
        <w:tc>
          <w:tcPr>
            <w:tcW w:type="dxa" w:w="480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color w:val="000000"/>
                <w:sz w:val="22"/>
                <w:szCs w:val="22"/>
              </w:rPr>
              <w:t xml:space="preserve">: Ikmal Mumtahaen, S.H., M.H.</w:t>
            </w:r>
          </w:p>
        </w:tc>
      </w:tr>
      <w:tr>
        <w:tc>
          <w:tcPr>
            <w:tcW w:type="dxa" w:w="2800"/>
            <w:tcBorders>
              <w:top w:val="none"/>
              <w:left w:val="none"/>
              <w:bottom w:val="none"/>
              <w:right w:val="none"/>
            </w:tcBorders>
            <w:tcMar>
              <w:top w:type="dxa" w:w="60"/>
              <w:left w:type="dxa" w:w="0"/>
              <w:bottom w:type="dxa" w:w="60"/>
              <w:right w:type="dxa" w:w="120"/>
            </w:tcMar>
          </w:tcPr>
          <w:p>
            <w:pPr>
              <w:jc w:val="right"/>
            </w:pPr>
            <w:r>
              <w:rPr>
                <w:rFonts w:ascii="Times New Roman" w:cs="Times New Roman" w:eastAsia="Times New Roman" w:hAnsi="Times New Roman"/>
                <w:b/>
                <w:bCs/>
                <w:color w:val="0D47A1"/>
                <w:sz w:val="22"/>
                <w:szCs w:val="22"/>
              </w:rPr>
              <w:t xml:space="preserve">Jadwal Reguler</w:t>
            </w:r>
          </w:p>
        </w:tc>
        <w:tc>
          <w:tcPr>
            <w:tcW w:type="dxa" w:w="480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color w:val="000000"/>
                <w:sz w:val="22"/>
                <w:szCs w:val="22"/>
              </w:rPr>
              <w:t xml:space="preserve">: Kamis, 20.00-21.00 WIB / Rabu, 16.00-17.00 WIB</w:t>
            </w:r>
          </w:p>
        </w:tc>
      </w:tr>
      <w:tr>
        <w:tc>
          <w:tcPr>
            <w:tcW w:type="dxa" w:w="2800"/>
            <w:tcBorders>
              <w:top w:val="none"/>
              <w:left w:val="none"/>
              <w:bottom w:val="none"/>
              <w:right w:val="none"/>
            </w:tcBorders>
            <w:tcMar>
              <w:top w:type="dxa" w:w="60"/>
              <w:left w:type="dxa" w:w="0"/>
              <w:bottom w:type="dxa" w:w="60"/>
              <w:right w:type="dxa" w:w="120"/>
            </w:tcMar>
          </w:tcPr>
          <w:p>
            <w:pPr>
              <w:jc w:val="right"/>
            </w:pPr>
            <w:r>
              <w:rPr>
                <w:rFonts w:ascii="Times New Roman" w:cs="Times New Roman" w:eastAsia="Times New Roman" w:hAnsi="Times New Roman"/>
                <w:b/>
                <w:bCs/>
                <w:color w:val="0D47A1"/>
                <w:sz w:val="22"/>
                <w:szCs w:val="22"/>
              </w:rPr>
              <w:t xml:space="preserve">Tahun Akademik</w:t>
            </w:r>
          </w:p>
        </w:tc>
        <w:tc>
          <w:tcPr>
            <w:tcW w:type="dxa" w:w="480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color w:val="000000"/>
                <w:sz w:val="22"/>
                <w:szCs w:val="22"/>
              </w:rPr>
              <w:t xml:space="preserve">: 2025/2026 (Semester Genap)</w:t>
            </w:r>
          </w:p>
        </w:tc>
      </w:tr>
    </w:tbl>
    <w:p>
      <w:pPr>
        <w:spacing w:after="600" w:before="0"/>
      </w:pPr>
      <w:r>
        <w:t xml:space="preserve"/>
      </w:r>
    </w:p>
    <w:p>
      <w:pPr>
        <w:spacing w:after="40" w:before="100"/>
        <w:jc w:val="center"/>
      </w:pPr>
      <w:r>
        <w:rPr>
          <w:rFonts w:ascii="Times New Roman" w:cs="Times New Roman" w:eastAsia="Times New Roman" w:hAnsi="Times New Roman"/>
          <w:b/>
          <w:bCs/>
          <w:color w:val="0D47A1"/>
          <w:sz w:val="28"/>
          <w:szCs w:val="28"/>
        </w:rPr>
        <w:t xml:space="preserve">SEKOLAH TINGGI EKONOMI ISLAM (STEI)</w:t>
      </w:r>
    </w:p>
    <w:p>
      <w:pPr>
        <w:spacing w:after="40" w:before="0"/>
        <w:jc w:val="center"/>
      </w:pPr>
      <w:r>
        <w:rPr>
          <w:rFonts w:ascii="Times New Roman" w:cs="Times New Roman" w:eastAsia="Times New Roman" w:hAnsi="Times New Roman"/>
          <w:b/>
          <w:bCs/>
          <w:color w:val="0D47A1"/>
          <w:sz w:val="34"/>
          <w:szCs w:val="34"/>
        </w:rPr>
        <w:t xml:space="preserve">FITRAH INSANI</w:t>
      </w:r>
    </w:p>
    <w:p>
      <w:pPr>
        <w:spacing w:after="40" w:before="0"/>
        <w:jc w:val="center"/>
      </w:pPr>
      <w:r>
        <w:rPr>
          <w:rFonts w:ascii="Times New Roman" w:cs="Times New Roman" w:eastAsia="Times New Roman" w:hAnsi="Times New Roman"/>
          <w:color w:val="555555"/>
          <w:sz w:val="20"/>
          <w:szCs w:val="20"/>
        </w:rPr>
        <w:t xml:space="preserve">Jl. Raya Gadobangkong No. 91, Kab. Bandung Barat, Jawa Barat</w:t>
      </w:r>
    </w:p>
    <w:p>
      <w:pPr>
        <w:spacing w:after="40" w:before="0"/>
        <w:jc w:val="center"/>
      </w:pPr>
      <w:r>
        <w:rPr>
          <w:rFonts w:ascii="Times New Roman" w:cs="Times New Roman" w:eastAsia="Times New Roman" w:hAnsi="Times New Roman"/>
          <w:b/>
          <w:bCs/>
          <w:color w:val="00ACC1"/>
          <w:sz w:val="22"/>
          <w:szCs w:val="22"/>
        </w:rPr>
        <w:t xml:space="preserve">Tahun 2026</w:t>
      </w:r>
    </w:p>
    <w:p>
      <w:r>
        <w:br w:type="page"/>
      </w:r>
    </w:p>
    <w:p>
      <w:pPr>
        <w:pBdr>
          <w:bottom w:val="single" w:color="0D47A1" w:sz="8" w:space="4"/>
        </w:pBdr>
        <w:spacing w:after="120" w:before="300"/>
      </w:pPr>
      <w:r>
        <w:rPr>
          <w:rFonts w:ascii="Times New Roman" w:cs="Times New Roman" w:eastAsia="Times New Roman" w:hAnsi="Times New Roman"/>
          <w:b/>
          <w:bCs/>
          <w:caps/>
          <w:color w:val="0D47A1"/>
          <w:sz w:val="28"/>
          <w:szCs w:val="28"/>
        </w:rPr>
        <w:t xml:space="preserve">A. IDENTITAS MATA KULIAH</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
        <w:gridCol w:w="6200"/>
      </w:tblGrid>
      <w:tr>
        <w:tc>
          <w:tcPr>
            <w:tcW w:type="dxa" w:w="2800"/>
            <w:tcBorders>
              <w:top w:val="single" w:color="AAAAAA" w:sz="6"/>
              <w:left w:val="single" w:color="AAAAAA" w:sz="6"/>
              <w:bottom w:val="single" w:color="AAAAAA" w:sz="6"/>
              <w:right w:val="single" w:color="AAAAAA" w:sz="6"/>
            </w:tcBorders>
            <w:shd w:fill="E3F2FD" w:val="clear"/>
            <w:tcMar>
              <w:top w:type="dxa" w:w="80"/>
              <w:left w:type="dxa" w:w="120"/>
              <w:bottom w:type="dxa" w:w="80"/>
              <w:right w:type="dxa" w:w="80"/>
            </w:tcMar>
          </w:tcPr>
          <w:p>
            <w:r>
              <w:rPr>
                <w:rFonts w:ascii="Times New Roman" w:cs="Times New Roman" w:eastAsia="Times New Roman" w:hAnsi="Times New Roman"/>
                <w:b/>
                <w:bCs/>
                <w:color w:val="0D47A1"/>
                <w:sz w:val="22"/>
                <w:szCs w:val="22"/>
              </w:rPr>
              <w:t xml:space="preserve">Nama Perguruan Tinggi</w:t>
            </w:r>
          </w:p>
        </w:tc>
        <w:tc>
          <w:tcPr>
            <w:tcW w:type="dxa" w:w="200"/>
            <w:tcBorders>
              <w:top w:val="single" w:color="AAAAAA" w:sz="6"/>
              <w:left w:val="single" w:color="AAAAAA" w:sz="6"/>
              <w:bottom w:val="single" w:color="AAAAAA" w:sz="6"/>
              <w:right w:val="single" w:color="AAAAAA" w:sz="6"/>
            </w:tcBorders>
            <w:shd w:fill="E3F2FD" w:val="clear"/>
            <w:tcMar>
              <w:top w:type="dxa" w:w="80"/>
              <w:left w:type="dxa" w:w="40"/>
              <w:bottom w:type="dxa" w:w="80"/>
              <w:right w:type="dxa" w:w="40"/>
            </w:tcMar>
          </w:tcPr>
          <w:p>
            <w:pPr>
              <w:jc w:val="center"/>
            </w:pPr>
            <w:r>
              <w:rPr>
                <w:rFonts w:ascii="Times New Roman" w:cs="Times New Roman" w:eastAsia="Times New Roman" w:hAnsi="Times New Roman"/>
                <w:b/>
                <w:bCs/>
                <w:color w:val="0D47A1"/>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STEI Fitrah Insani</w:t>
            </w:r>
          </w:p>
        </w:tc>
      </w:tr>
      <w:tr>
        <w:tc>
          <w:tcPr>
            <w:tcW w:type="dxa" w:w="2800"/>
            <w:tcBorders>
              <w:top w:val="single" w:color="AAAAAA" w:sz="6"/>
              <w:left w:val="single" w:color="AAAAAA" w:sz="6"/>
              <w:bottom w:val="single" w:color="AAAAAA" w:sz="6"/>
              <w:right w:val="single" w:color="AAAAAA" w:sz="6"/>
            </w:tcBorders>
            <w:shd w:fill="E3F2FD" w:val="clear"/>
            <w:tcMar>
              <w:top w:type="dxa" w:w="80"/>
              <w:left w:type="dxa" w:w="120"/>
              <w:bottom w:type="dxa" w:w="80"/>
              <w:right w:type="dxa" w:w="80"/>
            </w:tcMar>
          </w:tcPr>
          <w:p>
            <w:r>
              <w:rPr>
                <w:rFonts w:ascii="Times New Roman" w:cs="Times New Roman" w:eastAsia="Times New Roman" w:hAnsi="Times New Roman"/>
                <w:b/>
                <w:bCs/>
                <w:color w:val="0D47A1"/>
                <w:sz w:val="22"/>
                <w:szCs w:val="22"/>
              </w:rPr>
              <w:t xml:space="preserve">Program Studi</w:t>
            </w:r>
          </w:p>
        </w:tc>
        <w:tc>
          <w:tcPr>
            <w:tcW w:type="dxa" w:w="200"/>
            <w:tcBorders>
              <w:top w:val="single" w:color="AAAAAA" w:sz="6"/>
              <w:left w:val="single" w:color="AAAAAA" w:sz="6"/>
              <w:bottom w:val="single" w:color="AAAAAA" w:sz="6"/>
              <w:right w:val="single" w:color="AAAAAA" w:sz="6"/>
            </w:tcBorders>
            <w:shd w:fill="E3F2FD" w:val="clear"/>
            <w:tcMar>
              <w:top w:type="dxa" w:w="80"/>
              <w:left w:type="dxa" w:w="40"/>
              <w:bottom w:type="dxa" w:w="80"/>
              <w:right w:type="dxa" w:w="40"/>
            </w:tcMar>
          </w:tcPr>
          <w:p>
            <w:pPr>
              <w:jc w:val="center"/>
            </w:pPr>
            <w:r>
              <w:rPr>
                <w:rFonts w:ascii="Times New Roman" w:cs="Times New Roman" w:eastAsia="Times New Roman" w:hAnsi="Times New Roman"/>
                <w:b/>
                <w:bCs/>
                <w:color w:val="0D47A1"/>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Ekonomi Syariah / Perbankan Syariah</w:t>
            </w:r>
          </w:p>
        </w:tc>
      </w:tr>
      <w:tr>
        <w:tc>
          <w:tcPr>
            <w:tcW w:type="dxa" w:w="2800"/>
            <w:tcBorders>
              <w:top w:val="single" w:color="AAAAAA" w:sz="6"/>
              <w:left w:val="single" w:color="AAAAAA" w:sz="6"/>
              <w:bottom w:val="single" w:color="AAAAAA" w:sz="6"/>
              <w:right w:val="single" w:color="AAAAAA" w:sz="6"/>
            </w:tcBorders>
            <w:shd w:fill="E3F2FD" w:val="clear"/>
            <w:tcMar>
              <w:top w:type="dxa" w:w="80"/>
              <w:left w:type="dxa" w:w="120"/>
              <w:bottom w:type="dxa" w:w="80"/>
              <w:right w:type="dxa" w:w="80"/>
            </w:tcMar>
          </w:tcPr>
          <w:p>
            <w:r>
              <w:rPr>
                <w:rFonts w:ascii="Times New Roman" w:cs="Times New Roman" w:eastAsia="Times New Roman" w:hAnsi="Times New Roman"/>
                <w:b/>
                <w:bCs/>
                <w:color w:val="0D47A1"/>
                <w:sz w:val="22"/>
                <w:szCs w:val="22"/>
              </w:rPr>
              <w:t xml:space="preserve">Nama Mata Kuliah</w:t>
            </w:r>
          </w:p>
        </w:tc>
        <w:tc>
          <w:tcPr>
            <w:tcW w:type="dxa" w:w="200"/>
            <w:tcBorders>
              <w:top w:val="single" w:color="AAAAAA" w:sz="6"/>
              <w:left w:val="single" w:color="AAAAAA" w:sz="6"/>
              <w:bottom w:val="single" w:color="AAAAAA" w:sz="6"/>
              <w:right w:val="single" w:color="AAAAAA" w:sz="6"/>
            </w:tcBorders>
            <w:shd w:fill="E3F2FD" w:val="clear"/>
            <w:tcMar>
              <w:top w:type="dxa" w:w="80"/>
              <w:left w:type="dxa" w:w="40"/>
              <w:bottom w:type="dxa" w:w="80"/>
              <w:right w:type="dxa" w:w="40"/>
            </w:tcMar>
          </w:tcPr>
          <w:p>
            <w:pPr>
              <w:jc w:val="center"/>
            </w:pPr>
            <w:r>
              <w:rPr>
                <w:rFonts w:ascii="Times New Roman" w:cs="Times New Roman" w:eastAsia="Times New Roman" w:hAnsi="Times New Roman"/>
                <w:b/>
                <w:bCs/>
                <w:color w:val="0D47A1"/>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Bisnis Digital (Digital Business in Islamic Economy Context)</w:t>
            </w:r>
          </w:p>
        </w:tc>
      </w:tr>
      <w:tr>
        <w:tc>
          <w:tcPr>
            <w:tcW w:type="dxa" w:w="2800"/>
            <w:tcBorders>
              <w:top w:val="single" w:color="AAAAAA" w:sz="6"/>
              <w:left w:val="single" w:color="AAAAAA" w:sz="6"/>
              <w:bottom w:val="single" w:color="AAAAAA" w:sz="6"/>
              <w:right w:val="single" w:color="AAAAAA" w:sz="6"/>
            </w:tcBorders>
            <w:shd w:fill="E3F2FD" w:val="clear"/>
            <w:tcMar>
              <w:top w:type="dxa" w:w="80"/>
              <w:left w:type="dxa" w:w="120"/>
              <w:bottom w:type="dxa" w:w="80"/>
              <w:right w:type="dxa" w:w="80"/>
            </w:tcMar>
          </w:tcPr>
          <w:p>
            <w:r>
              <w:rPr>
                <w:rFonts w:ascii="Times New Roman" w:cs="Times New Roman" w:eastAsia="Times New Roman" w:hAnsi="Times New Roman"/>
                <w:b/>
                <w:bCs/>
                <w:color w:val="0D47A1"/>
                <w:sz w:val="22"/>
                <w:szCs w:val="22"/>
              </w:rPr>
              <w:t xml:space="preserve">Kode Mata Kuliah</w:t>
            </w:r>
          </w:p>
        </w:tc>
        <w:tc>
          <w:tcPr>
            <w:tcW w:type="dxa" w:w="200"/>
            <w:tcBorders>
              <w:top w:val="single" w:color="AAAAAA" w:sz="6"/>
              <w:left w:val="single" w:color="AAAAAA" w:sz="6"/>
              <w:bottom w:val="single" w:color="AAAAAA" w:sz="6"/>
              <w:right w:val="single" w:color="AAAAAA" w:sz="6"/>
            </w:tcBorders>
            <w:shd w:fill="E3F2FD" w:val="clear"/>
            <w:tcMar>
              <w:top w:type="dxa" w:w="80"/>
              <w:left w:type="dxa" w:w="40"/>
              <w:bottom w:type="dxa" w:w="80"/>
              <w:right w:type="dxa" w:w="40"/>
            </w:tcMar>
          </w:tcPr>
          <w:p>
            <w:pPr>
              <w:jc w:val="center"/>
            </w:pPr>
            <w:r>
              <w:rPr>
                <w:rFonts w:ascii="Times New Roman" w:cs="Times New Roman" w:eastAsia="Times New Roman" w:hAnsi="Times New Roman"/>
                <w:b/>
                <w:bCs/>
                <w:color w:val="0D47A1"/>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MKI11102 (ES) / MKI12102 (PS)</w:t>
            </w:r>
          </w:p>
        </w:tc>
      </w:tr>
      <w:tr>
        <w:tc>
          <w:tcPr>
            <w:tcW w:type="dxa" w:w="2800"/>
            <w:tcBorders>
              <w:top w:val="single" w:color="AAAAAA" w:sz="6"/>
              <w:left w:val="single" w:color="AAAAAA" w:sz="6"/>
              <w:bottom w:val="single" w:color="AAAAAA" w:sz="6"/>
              <w:right w:val="single" w:color="AAAAAA" w:sz="6"/>
            </w:tcBorders>
            <w:shd w:fill="E3F2FD" w:val="clear"/>
            <w:tcMar>
              <w:top w:type="dxa" w:w="80"/>
              <w:left w:type="dxa" w:w="120"/>
              <w:bottom w:type="dxa" w:w="80"/>
              <w:right w:type="dxa" w:w="80"/>
            </w:tcMar>
          </w:tcPr>
          <w:p>
            <w:r>
              <w:rPr>
                <w:rFonts w:ascii="Times New Roman" w:cs="Times New Roman" w:eastAsia="Times New Roman" w:hAnsi="Times New Roman"/>
                <w:b/>
                <w:bCs/>
                <w:color w:val="0D47A1"/>
                <w:sz w:val="22"/>
                <w:szCs w:val="22"/>
              </w:rPr>
              <w:t xml:space="preserve">Klasifikasi</w:t>
            </w:r>
          </w:p>
        </w:tc>
        <w:tc>
          <w:tcPr>
            <w:tcW w:type="dxa" w:w="200"/>
            <w:tcBorders>
              <w:top w:val="single" w:color="AAAAAA" w:sz="6"/>
              <w:left w:val="single" w:color="AAAAAA" w:sz="6"/>
              <w:bottom w:val="single" w:color="AAAAAA" w:sz="6"/>
              <w:right w:val="single" w:color="AAAAAA" w:sz="6"/>
            </w:tcBorders>
            <w:shd w:fill="E3F2FD" w:val="clear"/>
            <w:tcMar>
              <w:top w:type="dxa" w:w="80"/>
              <w:left w:type="dxa" w:w="40"/>
              <w:bottom w:type="dxa" w:w="80"/>
              <w:right w:type="dxa" w:w="40"/>
            </w:tcMar>
          </w:tcPr>
          <w:p>
            <w:pPr>
              <w:jc w:val="center"/>
            </w:pPr>
            <w:r>
              <w:rPr>
                <w:rFonts w:ascii="Times New Roman" w:cs="Times New Roman" w:eastAsia="Times New Roman" w:hAnsi="Times New Roman"/>
                <w:b/>
                <w:bCs/>
                <w:color w:val="0D47A1"/>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Mata Kuliah Keahlian Inti (MKKI) - Wajib Prodi</w:t>
            </w:r>
          </w:p>
        </w:tc>
      </w:tr>
      <w:tr>
        <w:tc>
          <w:tcPr>
            <w:tcW w:type="dxa" w:w="2800"/>
            <w:tcBorders>
              <w:top w:val="single" w:color="AAAAAA" w:sz="6"/>
              <w:left w:val="single" w:color="AAAAAA" w:sz="6"/>
              <w:bottom w:val="single" w:color="AAAAAA" w:sz="6"/>
              <w:right w:val="single" w:color="AAAAAA" w:sz="6"/>
            </w:tcBorders>
            <w:shd w:fill="E3F2FD" w:val="clear"/>
            <w:tcMar>
              <w:top w:type="dxa" w:w="80"/>
              <w:left w:type="dxa" w:w="120"/>
              <w:bottom w:type="dxa" w:w="80"/>
              <w:right w:type="dxa" w:w="80"/>
            </w:tcMar>
          </w:tcPr>
          <w:p>
            <w:r>
              <w:rPr>
                <w:rFonts w:ascii="Times New Roman" w:cs="Times New Roman" w:eastAsia="Times New Roman" w:hAnsi="Times New Roman"/>
                <w:b/>
                <w:bCs/>
                <w:color w:val="0D47A1"/>
                <w:sz w:val="22"/>
                <w:szCs w:val="22"/>
              </w:rPr>
              <w:t xml:space="preserve">Bobot SKS</w:t>
            </w:r>
          </w:p>
        </w:tc>
        <w:tc>
          <w:tcPr>
            <w:tcW w:type="dxa" w:w="200"/>
            <w:tcBorders>
              <w:top w:val="single" w:color="AAAAAA" w:sz="6"/>
              <w:left w:val="single" w:color="AAAAAA" w:sz="6"/>
              <w:bottom w:val="single" w:color="AAAAAA" w:sz="6"/>
              <w:right w:val="single" w:color="AAAAAA" w:sz="6"/>
            </w:tcBorders>
            <w:shd w:fill="E3F2FD" w:val="clear"/>
            <w:tcMar>
              <w:top w:type="dxa" w:w="80"/>
              <w:left w:type="dxa" w:w="40"/>
              <w:bottom w:type="dxa" w:w="80"/>
              <w:right w:type="dxa" w:w="40"/>
            </w:tcMar>
          </w:tcPr>
          <w:p>
            <w:pPr>
              <w:jc w:val="center"/>
            </w:pPr>
            <w:r>
              <w:rPr>
                <w:rFonts w:ascii="Times New Roman" w:cs="Times New Roman" w:eastAsia="Times New Roman" w:hAnsi="Times New Roman"/>
                <w:b/>
                <w:bCs/>
                <w:color w:val="0D47A1"/>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2 SKS (2 SKS Teori + Praktik Digital Terintegrasi)</w:t>
            </w:r>
          </w:p>
        </w:tc>
      </w:tr>
      <w:tr>
        <w:tc>
          <w:tcPr>
            <w:tcW w:type="dxa" w:w="2800"/>
            <w:tcBorders>
              <w:top w:val="single" w:color="AAAAAA" w:sz="6"/>
              <w:left w:val="single" w:color="AAAAAA" w:sz="6"/>
              <w:bottom w:val="single" w:color="AAAAAA" w:sz="6"/>
              <w:right w:val="single" w:color="AAAAAA" w:sz="6"/>
            </w:tcBorders>
            <w:shd w:fill="E3F2FD" w:val="clear"/>
            <w:tcMar>
              <w:top w:type="dxa" w:w="80"/>
              <w:left w:type="dxa" w:w="120"/>
              <w:bottom w:type="dxa" w:w="80"/>
              <w:right w:type="dxa" w:w="80"/>
            </w:tcMar>
          </w:tcPr>
          <w:p>
            <w:r>
              <w:rPr>
                <w:rFonts w:ascii="Times New Roman" w:cs="Times New Roman" w:eastAsia="Times New Roman" w:hAnsi="Times New Roman"/>
                <w:b/>
                <w:bCs/>
                <w:color w:val="0D47A1"/>
                <w:sz w:val="22"/>
                <w:szCs w:val="22"/>
              </w:rPr>
              <w:t xml:space="preserve">Semester</w:t>
            </w:r>
          </w:p>
        </w:tc>
        <w:tc>
          <w:tcPr>
            <w:tcW w:type="dxa" w:w="200"/>
            <w:tcBorders>
              <w:top w:val="single" w:color="AAAAAA" w:sz="6"/>
              <w:left w:val="single" w:color="AAAAAA" w:sz="6"/>
              <w:bottom w:val="single" w:color="AAAAAA" w:sz="6"/>
              <w:right w:val="single" w:color="AAAAAA" w:sz="6"/>
            </w:tcBorders>
            <w:shd w:fill="E3F2FD" w:val="clear"/>
            <w:tcMar>
              <w:top w:type="dxa" w:w="80"/>
              <w:left w:type="dxa" w:w="40"/>
              <w:bottom w:type="dxa" w:w="80"/>
              <w:right w:type="dxa" w:w="40"/>
            </w:tcMar>
          </w:tcPr>
          <w:p>
            <w:pPr>
              <w:jc w:val="center"/>
            </w:pPr>
            <w:r>
              <w:rPr>
                <w:rFonts w:ascii="Times New Roman" w:cs="Times New Roman" w:eastAsia="Times New Roman" w:hAnsi="Times New Roman"/>
                <w:b/>
                <w:bCs/>
                <w:color w:val="0D47A1"/>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VI (Enam) - Reguler</w:t>
            </w:r>
          </w:p>
        </w:tc>
      </w:tr>
      <w:tr>
        <w:tc>
          <w:tcPr>
            <w:tcW w:type="dxa" w:w="2800"/>
            <w:tcBorders>
              <w:top w:val="single" w:color="AAAAAA" w:sz="6"/>
              <w:left w:val="single" w:color="AAAAAA" w:sz="6"/>
              <w:bottom w:val="single" w:color="AAAAAA" w:sz="6"/>
              <w:right w:val="single" w:color="AAAAAA" w:sz="6"/>
            </w:tcBorders>
            <w:shd w:fill="E3F2FD" w:val="clear"/>
            <w:tcMar>
              <w:top w:type="dxa" w:w="80"/>
              <w:left w:type="dxa" w:w="120"/>
              <w:bottom w:type="dxa" w:w="80"/>
              <w:right w:type="dxa" w:w="80"/>
            </w:tcMar>
          </w:tcPr>
          <w:p>
            <w:r>
              <w:rPr>
                <w:rFonts w:ascii="Times New Roman" w:cs="Times New Roman" w:eastAsia="Times New Roman" w:hAnsi="Times New Roman"/>
                <w:b/>
                <w:bCs/>
                <w:color w:val="0D47A1"/>
                <w:sz w:val="22"/>
                <w:szCs w:val="22"/>
              </w:rPr>
              <w:t xml:space="preserve">Prasyarat</w:t>
            </w:r>
          </w:p>
        </w:tc>
        <w:tc>
          <w:tcPr>
            <w:tcW w:type="dxa" w:w="200"/>
            <w:tcBorders>
              <w:top w:val="single" w:color="AAAAAA" w:sz="6"/>
              <w:left w:val="single" w:color="AAAAAA" w:sz="6"/>
              <w:bottom w:val="single" w:color="AAAAAA" w:sz="6"/>
              <w:right w:val="single" w:color="AAAAAA" w:sz="6"/>
            </w:tcBorders>
            <w:shd w:fill="E3F2FD" w:val="clear"/>
            <w:tcMar>
              <w:top w:type="dxa" w:w="80"/>
              <w:left w:type="dxa" w:w="40"/>
              <w:bottom w:type="dxa" w:w="80"/>
              <w:right w:type="dxa" w:w="40"/>
            </w:tcMar>
          </w:tcPr>
          <w:p>
            <w:pPr>
              <w:jc w:val="center"/>
            </w:pPr>
            <w:r>
              <w:rPr>
                <w:rFonts w:ascii="Times New Roman" w:cs="Times New Roman" w:eastAsia="Times New Roman" w:hAnsi="Times New Roman"/>
                <w:b/>
                <w:bCs/>
                <w:color w:val="0D47A1"/>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Kewirausahaan I &amp; III (Smt II &amp; IV); Pengantar Manajemen &amp; Bisnis Islam (Smt II)</w:t>
            </w:r>
          </w:p>
        </w:tc>
      </w:tr>
      <w:tr>
        <w:tc>
          <w:tcPr>
            <w:tcW w:type="dxa" w:w="2800"/>
            <w:tcBorders>
              <w:top w:val="single" w:color="AAAAAA" w:sz="6"/>
              <w:left w:val="single" w:color="AAAAAA" w:sz="6"/>
              <w:bottom w:val="single" w:color="AAAAAA" w:sz="6"/>
              <w:right w:val="single" w:color="AAAAAA" w:sz="6"/>
            </w:tcBorders>
            <w:shd w:fill="E3F2FD" w:val="clear"/>
            <w:tcMar>
              <w:top w:type="dxa" w:w="80"/>
              <w:left w:type="dxa" w:w="120"/>
              <w:bottom w:type="dxa" w:w="80"/>
              <w:right w:type="dxa" w:w="80"/>
            </w:tcMar>
          </w:tcPr>
          <w:p>
            <w:r>
              <w:rPr>
                <w:rFonts w:ascii="Times New Roman" w:cs="Times New Roman" w:eastAsia="Times New Roman" w:hAnsi="Times New Roman"/>
                <w:b/>
                <w:bCs/>
                <w:color w:val="0D47A1"/>
                <w:sz w:val="22"/>
                <w:szCs w:val="22"/>
              </w:rPr>
              <w:t xml:space="preserve">Dosen Pengampu</w:t>
            </w:r>
          </w:p>
        </w:tc>
        <w:tc>
          <w:tcPr>
            <w:tcW w:type="dxa" w:w="200"/>
            <w:tcBorders>
              <w:top w:val="single" w:color="AAAAAA" w:sz="6"/>
              <w:left w:val="single" w:color="AAAAAA" w:sz="6"/>
              <w:bottom w:val="single" w:color="AAAAAA" w:sz="6"/>
              <w:right w:val="single" w:color="AAAAAA" w:sz="6"/>
            </w:tcBorders>
            <w:shd w:fill="E3F2FD" w:val="clear"/>
            <w:tcMar>
              <w:top w:type="dxa" w:w="80"/>
              <w:left w:type="dxa" w:w="40"/>
              <w:bottom w:type="dxa" w:w="80"/>
              <w:right w:type="dxa" w:w="40"/>
            </w:tcMar>
          </w:tcPr>
          <w:p>
            <w:pPr>
              <w:jc w:val="center"/>
            </w:pPr>
            <w:r>
              <w:rPr>
                <w:rFonts w:ascii="Times New Roman" w:cs="Times New Roman" w:eastAsia="Times New Roman" w:hAnsi="Times New Roman"/>
                <w:b/>
                <w:bCs/>
                <w:color w:val="0D47A1"/>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Ikmal Mumtahaen, S.H., M.H.</w:t>
            </w:r>
          </w:p>
        </w:tc>
      </w:tr>
      <w:tr>
        <w:tc>
          <w:tcPr>
            <w:tcW w:type="dxa" w:w="2800"/>
            <w:tcBorders>
              <w:top w:val="single" w:color="AAAAAA" w:sz="6"/>
              <w:left w:val="single" w:color="AAAAAA" w:sz="6"/>
              <w:bottom w:val="single" w:color="AAAAAA" w:sz="6"/>
              <w:right w:val="single" w:color="AAAAAA" w:sz="6"/>
            </w:tcBorders>
            <w:shd w:fill="E3F2FD" w:val="clear"/>
            <w:tcMar>
              <w:top w:type="dxa" w:w="80"/>
              <w:left w:type="dxa" w:w="120"/>
              <w:bottom w:type="dxa" w:w="80"/>
              <w:right w:type="dxa" w:w="80"/>
            </w:tcMar>
          </w:tcPr>
          <w:p>
            <w:r>
              <w:rPr>
                <w:rFonts w:ascii="Times New Roman" w:cs="Times New Roman" w:eastAsia="Times New Roman" w:hAnsi="Times New Roman"/>
                <w:b/>
                <w:bCs/>
                <w:color w:val="0D47A1"/>
                <w:sz w:val="22"/>
                <w:szCs w:val="22"/>
              </w:rPr>
              <w:t xml:space="preserve">Jadwal Perkuliahan</w:t>
            </w:r>
          </w:p>
        </w:tc>
        <w:tc>
          <w:tcPr>
            <w:tcW w:type="dxa" w:w="200"/>
            <w:tcBorders>
              <w:top w:val="single" w:color="AAAAAA" w:sz="6"/>
              <w:left w:val="single" w:color="AAAAAA" w:sz="6"/>
              <w:bottom w:val="single" w:color="AAAAAA" w:sz="6"/>
              <w:right w:val="single" w:color="AAAAAA" w:sz="6"/>
            </w:tcBorders>
            <w:shd w:fill="E3F2FD" w:val="clear"/>
            <w:tcMar>
              <w:top w:type="dxa" w:w="80"/>
              <w:left w:type="dxa" w:w="40"/>
              <w:bottom w:type="dxa" w:w="80"/>
              <w:right w:type="dxa" w:w="40"/>
            </w:tcMar>
          </w:tcPr>
          <w:p>
            <w:pPr>
              <w:jc w:val="center"/>
            </w:pPr>
            <w:r>
              <w:rPr>
                <w:rFonts w:ascii="Times New Roman" w:cs="Times New Roman" w:eastAsia="Times New Roman" w:hAnsi="Times New Roman"/>
                <w:b/>
                <w:bCs/>
                <w:color w:val="0D47A1"/>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Kamis, 20.00-21.00 WIB (Reguler) | Rabu, 16.00-17.00 WIB (Karyawan)</w:t>
            </w:r>
          </w:p>
        </w:tc>
      </w:tr>
      <w:tr>
        <w:tc>
          <w:tcPr>
            <w:tcW w:type="dxa" w:w="2800"/>
            <w:tcBorders>
              <w:top w:val="single" w:color="AAAAAA" w:sz="6"/>
              <w:left w:val="single" w:color="AAAAAA" w:sz="6"/>
              <w:bottom w:val="single" w:color="AAAAAA" w:sz="6"/>
              <w:right w:val="single" w:color="AAAAAA" w:sz="6"/>
            </w:tcBorders>
            <w:shd w:fill="E3F2FD" w:val="clear"/>
            <w:tcMar>
              <w:top w:type="dxa" w:w="80"/>
              <w:left w:type="dxa" w:w="120"/>
              <w:bottom w:type="dxa" w:w="80"/>
              <w:right w:type="dxa" w:w="80"/>
            </w:tcMar>
          </w:tcPr>
          <w:p>
            <w:r>
              <w:rPr>
                <w:rFonts w:ascii="Times New Roman" w:cs="Times New Roman" w:eastAsia="Times New Roman" w:hAnsi="Times New Roman"/>
                <w:b/>
                <w:bCs/>
                <w:color w:val="0D47A1"/>
                <w:sz w:val="22"/>
                <w:szCs w:val="22"/>
              </w:rPr>
              <w:t xml:space="preserve">Tahun Akademik</w:t>
            </w:r>
          </w:p>
        </w:tc>
        <w:tc>
          <w:tcPr>
            <w:tcW w:type="dxa" w:w="200"/>
            <w:tcBorders>
              <w:top w:val="single" w:color="AAAAAA" w:sz="6"/>
              <w:left w:val="single" w:color="AAAAAA" w:sz="6"/>
              <w:bottom w:val="single" w:color="AAAAAA" w:sz="6"/>
              <w:right w:val="single" w:color="AAAAAA" w:sz="6"/>
            </w:tcBorders>
            <w:shd w:fill="E3F2FD" w:val="clear"/>
            <w:tcMar>
              <w:top w:type="dxa" w:w="80"/>
              <w:left w:type="dxa" w:w="40"/>
              <w:bottom w:type="dxa" w:w="80"/>
              <w:right w:type="dxa" w:w="40"/>
            </w:tcMar>
          </w:tcPr>
          <w:p>
            <w:pPr>
              <w:jc w:val="center"/>
            </w:pPr>
            <w:r>
              <w:rPr>
                <w:rFonts w:ascii="Times New Roman" w:cs="Times New Roman" w:eastAsia="Times New Roman" w:hAnsi="Times New Roman"/>
                <w:b/>
                <w:bCs/>
                <w:color w:val="0D47A1"/>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2025/2026 (Semester Genap)</w:t>
            </w:r>
          </w:p>
        </w:tc>
      </w:tr>
      <w:tr>
        <w:tc>
          <w:tcPr>
            <w:tcW w:type="dxa" w:w="2800"/>
            <w:tcBorders>
              <w:top w:val="single" w:color="AAAAAA" w:sz="6"/>
              <w:left w:val="single" w:color="AAAAAA" w:sz="6"/>
              <w:bottom w:val="single" w:color="AAAAAA" w:sz="6"/>
              <w:right w:val="single" w:color="AAAAAA" w:sz="6"/>
            </w:tcBorders>
            <w:shd w:fill="E3F2FD" w:val="clear"/>
            <w:tcMar>
              <w:top w:type="dxa" w:w="80"/>
              <w:left w:type="dxa" w:w="120"/>
              <w:bottom w:type="dxa" w:w="80"/>
              <w:right w:type="dxa" w:w="80"/>
            </w:tcMar>
          </w:tcPr>
          <w:p>
            <w:r>
              <w:rPr>
                <w:rFonts w:ascii="Times New Roman" w:cs="Times New Roman" w:eastAsia="Times New Roman" w:hAnsi="Times New Roman"/>
                <w:b/>
                <w:bCs/>
                <w:color w:val="0D47A1"/>
                <w:sz w:val="22"/>
                <w:szCs w:val="22"/>
              </w:rPr>
              <w:t xml:space="preserve">Dasar Hukum</w:t>
            </w:r>
          </w:p>
        </w:tc>
        <w:tc>
          <w:tcPr>
            <w:tcW w:type="dxa" w:w="200"/>
            <w:tcBorders>
              <w:top w:val="single" w:color="AAAAAA" w:sz="6"/>
              <w:left w:val="single" w:color="AAAAAA" w:sz="6"/>
              <w:bottom w:val="single" w:color="AAAAAA" w:sz="6"/>
              <w:right w:val="single" w:color="AAAAAA" w:sz="6"/>
            </w:tcBorders>
            <w:shd w:fill="E3F2FD" w:val="clear"/>
            <w:tcMar>
              <w:top w:type="dxa" w:w="80"/>
              <w:left w:type="dxa" w:w="40"/>
              <w:bottom w:type="dxa" w:w="80"/>
              <w:right w:type="dxa" w:w="40"/>
            </w:tcMar>
          </w:tcPr>
          <w:p>
            <w:pPr>
              <w:jc w:val="center"/>
            </w:pPr>
            <w:r>
              <w:rPr>
                <w:rFonts w:ascii="Times New Roman" w:cs="Times New Roman" w:eastAsia="Times New Roman" w:hAnsi="Times New Roman"/>
                <w:b/>
                <w:bCs/>
                <w:color w:val="0D47A1"/>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Permendikbud No. 3 Tahun 2020 (SN-DIKTI); Statuta STEI FI Pasal 16; DSN-MUI Fatwa terkait transaksi digital</w:t>
            </w:r>
          </w:p>
        </w:tc>
      </w:tr>
    </w:tbl>
    <w:p>
      <w:pPr>
        <w:spacing w:after="200" w:before="0"/>
      </w:pPr>
      <w:r>
        <w:t xml:space="preserve"/>
      </w:r>
    </w:p>
    <w:p>
      <w:pPr>
        <w:pBdr>
          <w:bottom w:val="single" w:color="0D47A1" w:sz="8" w:space="4"/>
        </w:pBdr>
        <w:spacing w:after="120" w:before="300"/>
      </w:pPr>
      <w:r>
        <w:rPr>
          <w:rFonts w:ascii="Times New Roman" w:cs="Times New Roman" w:eastAsia="Times New Roman" w:hAnsi="Times New Roman"/>
          <w:b/>
          <w:bCs/>
          <w:caps/>
          <w:color w:val="0D47A1"/>
          <w:sz w:val="28"/>
          <w:szCs w:val="28"/>
        </w:rPr>
        <w:t xml:space="preserve">B. DESKRIPSI MATA KULIAH</w:t>
      </w:r>
    </w:p>
    <w:p>
      <w:pPr>
        <w:spacing w:after="80" w:before="60"/>
        <w:jc w:val="both"/>
      </w:pPr>
      <w:r>
        <w:rPr>
          <w:rFonts w:ascii="Times New Roman" w:cs="Times New Roman" w:eastAsia="Times New Roman" w:hAnsi="Times New Roman"/>
          <w:color w:val="000000"/>
          <w:sz w:val="22"/>
          <w:szCs w:val="22"/>
        </w:rPr>
        <w:t xml:space="preserve">Mata kuliah Bisnis Digital merupakan Mata Kuliah Keahlian Inti (MKKI) berbobot 2 (dua) SKS yang diselenggarakan pada Semester VI. Mata kuliah ini hadir sebagai respons terhadap realitas bahwa masa depan ekonomi Islam sangat tergantung pada kemampuan ekosistem bisnis Muslim beradaptasi dan menguasai transformasi digital. Indonesia dengan lebih dari 210 juta pengguna internet dan nilai ekonomi digital yang terus tumbuh merupakan ladang luar biasa bagi bisnis halal digital - namun juga membawa risiko hukum, etika, dan syariah yang harus dipahami dengan baik.</w:t>
      </w:r>
    </w:p>
    <w:p>
      <w:pPr>
        <w:spacing w:after="60" w:before="0"/>
      </w:pPr>
      <w:r>
        <w:t xml:space="preserve"/>
      </w:r>
    </w:p>
    <w:p>
      <w:pPr>
        <w:spacing w:after="80" w:before="60"/>
        <w:jc w:val="both"/>
      </w:pPr>
      <w:r>
        <w:rPr>
          <w:rFonts w:ascii="Times New Roman" w:cs="Times New Roman" w:eastAsia="Times New Roman" w:hAnsi="Times New Roman"/>
          <w:color w:val="000000"/>
          <w:sz w:val="22"/>
          <w:szCs w:val="22"/>
        </w:rPr>
        <w:t xml:space="preserve">Perkuliahan mengintegrasikan tiga dimensi: (1) Konsep &amp; Model - ekosistem bisnis digital, Business Model Canvas, model platform halal, unit economics startup; (2) Hukum &amp; Regulasi - UU ITE, PP PMSE, POJK fintech, kontrak digital, perlindungan konsumen digital, hak kekayaan intelektual digital, dan aspek syariah transaksi elektronik; dan (3) Strategi &amp; Implementasi - e-commerce halal, fintech syariah, digital marketing Islam, content creation, legalitas startup, dan pitch kepada investor.</w:t>
      </w:r>
    </w:p>
    <w:p>
      <w:pPr>
        <w:spacing w:after="60" w:before="0"/>
      </w:pPr>
      <w:r>
        <w:t xml:space="preserve"/>
      </w:r>
    </w:p>
    <w:p>
      <w:pPr>
        <w:spacing w:after="80" w:before="60"/>
        <w:jc w:val="both"/>
      </w:pPr>
      <w:r>
        <w:rPr>
          <w:rFonts w:ascii="Times New Roman" w:cs="Times New Roman" w:eastAsia="Times New Roman" w:hAnsi="Times New Roman"/>
          <w:color w:val="000000"/>
          <w:sz w:val="22"/>
          <w:szCs w:val="22"/>
        </w:rPr>
        <w:t xml:space="preserve">Dosen pengampu berlatar belakang hukum (S.H., M.H.) yang memberikan perspektif unik: mata kuliah ini tidak hanya mengajarkan 'cara berbisnis digital', tetapi juga 'cara berbisnis digital yang aman secara hukum dan sah secara syariah'. Output puncak adalah Demo Day - presentasi pitch bisnis digital halal dalam format investor meeting yang mensimulasikan dunia startup nyata.</w:t>
      </w:r>
    </w:p>
    <w:p>
      <w:pPr>
        <w:spacing w:after="200" w:before="0"/>
      </w:pPr>
      <w:r>
        <w:t xml:space="preserve"/>
      </w:r>
    </w:p>
    <w:p>
      <w:pPr>
        <w:pBdr>
          <w:bottom w:val="single" w:color="0D47A1" w:sz="8" w:space="4"/>
        </w:pBdr>
        <w:spacing w:after="120" w:before="300"/>
      </w:pPr>
      <w:r>
        <w:rPr>
          <w:rFonts w:ascii="Times New Roman" w:cs="Times New Roman" w:eastAsia="Times New Roman" w:hAnsi="Times New Roman"/>
          <w:b/>
          <w:bCs/>
          <w:caps/>
          <w:color w:val="0D47A1"/>
          <w:sz w:val="28"/>
          <w:szCs w:val="28"/>
        </w:rPr>
        <w:t xml:space="preserve">C. POSISI DALAM KURIKULUM</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gridSpan w:val="1"/>
            <w:tcBorders>
              <w:top w:val="single" w:color="AAAAAA" w:sz="6"/>
              <w:left w:val="single" w:color="AAAAAA" w:sz="6"/>
              <w:bottom w:val="single" w:color="AAAAAA" w:sz="6"/>
              <w:right w:val="single" w:color="AAAAAA" w:sz="6"/>
            </w:tcBorders>
            <w:shd w:fill="0D47A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Aspek</w:t>
            </w:r>
          </w:p>
        </w:tc>
        <w:tc>
          <w:tcPr>
            <w:tcW w:type="dxa" w:w="6200"/>
            <w:gridSpan w:val="1"/>
            <w:tcBorders>
              <w:top w:val="single" w:color="AAAAAA" w:sz="6"/>
              <w:left w:val="single" w:color="AAAAAA" w:sz="6"/>
              <w:bottom w:val="single" w:color="AAAAAA" w:sz="6"/>
              <w:right w:val="single" w:color="AAAAAA" w:sz="6"/>
            </w:tcBorders>
            <w:shd w:fill="0D47A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Uraian</w:t>
            </w:r>
          </w:p>
        </w:tc>
      </w:tr>
      <w:tr>
        <w:tc>
          <w:tcPr>
            <w:tcW w:type="dxa" w:w="30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Posisi</w:t>
            </w:r>
          </w:p>
        </w:tc>
        <w:tc>
          <w:tcPr>
            <w:tcW w:type="dxa" w:w="62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Semester VI - MKKI Wajib; MK paling kontemporer dan relevan dengan karir digital Muslim</w:t>
            </w:r>
          </w:p>
        </w:tc>
      </w:tr>
      <w:tr>
        <w:tc>
          <w:tcPr>
            <w:tcW w:type="dxa" w:w="3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Keunikan Dosen</w:t>
            </w:r>
          </w:p>
        </w:tc>
        <w:tc>
          <w:tcPr>
            <w:tcW w:type="dxa" w:w="6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Ikmal Mumtahaen, S.H., M.H. - perspektif hukum digital yang unik; mengintegrasikan aspek legal dan bisnis digital</w:t>
            </w:r>
          </w:p>
        </w:tc>
      </w:tr>
      <w:tr>
        <w:tc>
          <w:tcPr>
            <w:tcW w:type="dxa" w:w="30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Relevansi SGIE 2025/26</w:t>
            </w:r>
          </w:p>
        </w:tc>
        <w:tc>
          <w:tcPr>
            <w:tcW w:type="dxa" w:w="62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Merujuk langsung pada data SGIE: ekonomi digital Islam global, halal e-commerce, Islamic fintech - yang terus tumbuh</w:t>
            </w:r>
          </w:p>
        </w:tc>
      </w:tr>
      <w:tr>
        <w:tc>
          <w:tcPr>
            <w:tcW w:type="dxa" w:w="3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Feed Forward Skripsi</w:t>
            </w:r>
          </w:p>
        </w:tc>
        <w:tc>
          <w:tcPr>
            <w:tcW w:type="dxa" w:w="6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Topik aktual: analisis bisnis model platform halal, efektivitas fintech syariah, regulasi e-commerce Islam</w:t>
            </w:r>
          </w:p>
        </w:tc>
      </w:tr>
      <w:tr>
        <w:tc>
          <w:tcPr>
            <w:tcW w:type="dxa" w:w="30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Relevansi Karir</w:t>
            </w:r>
          </w:p>
        </w:tc>
        <w:tc>
          <w:tcPr>
            <w:tcW w:type="dxa" w:w="62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Digital entrepreneur Muslim; legal officer startup halal; digital marketing UMKM syariah; business development fintech syariah; konsultan hukum bisnis digital Islam</w:t>
            </w:r>
          </w:p>
        </w:tc>
      </w:tr>
    </w:tbl>
    <w:p>
      <w:pPr>
        <w:spacing w:after="200" w:before="0"/>
      </w:pPr>
      <w:r>
        <w:t xml:space="preserve"/>
      </w:r>
    </w:p>
    <w:p>
      <w:pPr>
        <w:pBdr>
          <w:bottom w:val="single" w:color="0D47A1" w:sz="8" w:space="4"/>
        </w:pBdr>
        <w:spacing w:after="120" w:before="300"/>
      </w:pPr>
      <w:r>
        <w:rPr>
          <w:rFonts w:ascii="Times New Roman" w:cs="Times New Roman" w:eastAsia="Times New Roman" w:hAnsi="Times New Roman"/>
          <w:b/>
          <w:bCs/>
          <w:caps/>
          <w:color w:val="0D47A1"/>
          <w:sz w:val="28"/>
          <w:szCs w:val="28"/>
        </w:rPr>
        <w:t xml:space="preserve">D. CPL DAN CPMK</w:t>
      </w:r>
    </w:p>
    <w:p>
      <w:pPr>
        <w:spacing w:after="80" w:before="200"/>
      </w:pPr>
      <w:r>
        <w:rPr>
          <w:rFonts w:ascii="Times New Roman" w:cs="Times New Roman" w:eastAsia="Times New Roman" w:hAnsi="Times New Roman"/>
          <w:b/>
          <w:bCs/>
          <w:color w:val="1565C0"/>
          <w:sz w:val="24"/>
          <w:szCs w:val="24"/>
        </w:rPr>
        <w:t xml:space="preserve">D.1 CPL yang Dibebankan</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600"/>
      </w:tblGrid>
      <w:tr>
        <w:tc>
          <w:tcPr>
            <w:tcW w:type="dxa" w:w="1200"/>
            <w:gridSpan w:val="1"/>
            <w:tcBorders>
              <w:top w:val="single" w:color="AAAAAA" w:sz="6"/>
              <w:left w:val="single" w:color="AAAAAA" w:sz="6"/>
              <w:bottom w:val="single" w:color="AAAAAA" w:sz="6"/>
              <w:right w:val="single" w:color="AAAAAA" w:sz="6"/>
            </w:tcBorders>
            <w:shd w:fill="0D47A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Kode</w:t>
            </w:r>
          </w:p>
        </w:tc>
        <w:tc>
          <w:tcPr>
            <w:tcW w:type="dxa" w:w="2400"/>
            <w:gridSpan w:val="1"/>
            <w:tcBorders>
              <w:top w:val="single" w:color="AAAAAA" w:sz="6"/>
              <w:left w:val="single" w:color="AAAAAA" w:sz="6"/>
              <w:bottom w:val="single" w:color="AAAAAA" w:sz="6"/>
              <w:right w:val="single" w:color="AAAAAA" w:sz="6"/>
            </w:tcBorders>
            <w:shd w:fill="0D47A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Ranah</w:t>
            </w:r>
          </w:p>
        </w:tc>
        <w:tc>
          <w:tcPr>
            <w:tcW w:type="dxa" w:w="5600"/>
            <w:gridSpan w:val="1"/>
            <w:tcBorders>
              <w:top w:val="single" w:color="AAAAAA" w:sz="6"/>
              <w:left w:val="single" w:color="AAAAAA" w:sz="6"/>
              <w:bottom w:val="single" w:color="AAAAAA" w:sz="6"/>
              <w:right w:val="single" w:color="AAAAAA" w:sz="6"/>
            </w:tcBorders>
            <w:shd w:fill="0D47A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Rumusan CPL</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S-7</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Sikap</w:t>
            </w:r>
          </w:p>
        </w:tc>
        <w:tc>
          <w:tcPr>
            <w:tcW w:type="dxa" w:w="5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Menginternalisasi etika bisnis Islam dalam ekosistem digital: kejujuran dalam iklan digital, perlindungan data pengguna, larangan konten haram, dan tanggung jawab sosial Muslim entrepreneur digital.</w:t>
            </w:r>
          </w:p>
        </w:tc>
      </w:tr>
      <w:tr>
        <w:tc>
          <w:tcPr>
            <w:tcW w:type="dxa" w:w="1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P-15</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Pengetahuan</w:t>
            </w:r>
          </w:p>
        </w:tc>
        <w:tc>
          <w:tcPr>
            <w:tcW w:type="dxa" w:w="5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Menguasai konsep, model bisnis, regulasi, dan strategi bisnis digital yang relevan dengan konteks ekonomi Islam Indonesia: e-commerce halal, fintech syariah, hukum kontrak digital, perlindungan konsumen digital, dan kerangka hukum startup digital.</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KU-4</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Keterampilan Umum</w:t>
            </w:r>
          </w:p>
        </w:tc>
        <w:tc>
          <w:tcPr>
            <w:tcW w:type="dxa" w:w="5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Mampu merancang model bisnis digital menggunakan Business Model Canvas, menyusun strategi pemasaran digital halal, dan menganalisis kelayakan bisnis digital berdasarkan metrik kinerja yang relevan.</w:t>
            </w:r>
          </w:p>
        </w:tc>
      </w:tr>
      <w:tr>
        <w:tc>
          <w:tcPr>
            <w:tcW w:type="dxa" w:w="1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KK-11</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Keterampilan Khusus</w:t>
            </w:r>
          </w:p>
        </w:tc>
        <w:tc>
          <w:tcPr>
            <w:tcW w:type="dxa" w:w="5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Mampu menyusun proposal bisnis digital halal yang komprehensif dan mempresentasikannya dalam format pitch deck kepada investor, mencakup analisis pasar, model monetisasi halal, proyeksi keuangan, dan kerangka hukum yang tepat.</w:t>
            </w:r>
          </w:p>
        </w:tc>
      </w:tr>
    </w:tbl>
    <w:p>
      <w:pPr>
        <w:spacing w:after="160" w:before="0"/>
      </w:pPr>
      <w:r>
        <w:t xml:space="preserve"/>
      </w:r>
    </w:p>
    <w:p>
      <w:pPr>
        <w:spacing w:after="80" w:before="200"/>
      </w:pPr>
      <w:r>
        <w:rPr>
          <w:rFonts w:ascii="Times New Roman" w:cs="Times New Roman" w:eastAsia="Times New Roman" w:hAnsi="Times New Roman"/>
          <w:b/>
          <w:bCs/>
          <w:color w:val="1565C0"/>
          <w:sz w:val="24"/>
          <w:szCs w:val="24"/>
        </w:rPr>
        <w:t xml:space="preserve">D.2 Capaian Pembelajaran Mata Kuliah</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200"/>
      </w:tblGrid>
      <w:tr>
        <w:tc>
          <w:tcPr>
            <w:tcW w:type="dxa" w:w="1200"/>
            <w:gridSpan w:val="1"/>
            <w:tcBorders>
              <w:top w:val="single" w:color="AAAAAA" w:sz="6"/>
              <w:left w:val="single" w:color="AAAAAA" w:sz="6"/>
              <w:bottom w:val="single" w:color="AAAAAA" w:sz="6"/>
              <w:right w:val="single" w:color="AAAAAA" w:sz="6"/>
            </w:tcBorders>
            <w:shd w:fill="0D47A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Kode</w:t>
            </w:r>
          </w:p>
        </w:tc>
        <w:tc>
          <w:tcPr>
            <w:tcW w:type="dxa" w:w="3800"/>
            <w:gridSpan w:val="1"/>
            <w:tcBorders>
              <w:top w:val="single" w:color="AAAAAA" w:sz="6"/>
              <w:left w:val="single" w:color="AAAAAA" w:sz="6"/>
              <w:bottom w:val="single" w:color="AAAAAA" w:sz="6"/>
              <w:right w:val="single" w:color="AAAAAA" w:sz="6"/>
            </w:tcBorders>
            <w:shd w:fill="0D47A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Rumusan CPMK</w:t>
            </w:r>
          </w:p>
        </w:tc>
        <w:tc>
          <w:tcPr>
            <w:tcW w:type="dxa" w:w="4200"/>
            <w:gridSpan w:val="1"/>
            <w:tcBorders>
              <w:top w:val="single" w:color="AAAAAA" w:sz="6"/>
              <w:left w:val="single" w:color="AAAAAA" w:sz="6"/>
              <w:bottom w:val="single" w:color="AAAAAA" w:sz="6"/>
              <w:right w:val="single" w:color="AAAAAA" w:sz="6"/>
            </w:tcBorders>
            <w:shd w:fill="0D47A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CPL</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CPMK-1</w:t>
            </w:r>
          </w:p>
        </w:tc>
        <w:tc>
          <w:tcPr>
            <w:tcW w:type="dxa" w:w="3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menjelaskan konsep bisnis digital, ekosistem ekonomi digital Indonesia, model-model bisnis digital, dan mengidentifikasi peluang bisnis halal dalam transformasi digital.</w:t>
            </w:r>
          </w:p>
        </w:tc>
        <w:tc>
          <w:tcPr>
            <w:tcW w:type="dxa" w:w="4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S-7, P-15</w:t>
            </w:r>
          </w:p>
        </w:tc>
      </w:tr>
      <w:tr>
        <w:tc>
          <w:tcPr>
            <w:tcW w:type="dxa" w:w="1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CPMK-2</w:t>
            </w:r>
          </w:p>
        </w:tc>
        <w:tc>
          <w:tcPr>
            <w:tcW w:type="dxa" w:w="3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menganalisis kerangka hukum bisnis digital Indonesia (UU ITE, UU Perdagangan, POJK fintech) dan mengevaluasi aspek hukum kontrak digital, perlindungan konsumen, dan penyelesaian sengketa online.</w:t>
            </w:r>
          </w:p>
        </w:tc>
        <w:tc>
          <w:tcPr>
            <w:tcW w:type="dxa" w:w="4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P-15, KU-4</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CPMK-3</w:t>
            </w:r>
          </w:p>
        </w:tc>
        <w:tc>
          <w:tcPr>
            <w:tcW w:type="dxa" w:w="3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menganalisis model e-commerce halal, strategi pemasaran digital Islam, ekosistem fintech syariah, dan isu-isu etika digital dalam perspektif Islam.</w:t>
            </w:r>
          </w:p>
        </w:tc>
        <w:tc>
          <w:tcPr>
            <w:tcW w:type="dxa" w:w="4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P-15, KU-4, KK-11</w:t>
            </w:r>
          </w:p>
        </w:tc>
      </w:tr>
      <w:tr>
        <w:tc>
          <w:tcPr>
            <w:tcW w:type="dxa" w:w="1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CPMK-4</w:t>
            </w:r>
          </w:p>
        </w:tc>
        <w:tc>
          <w:tcPr>
            <w:tcW w:type="dxa" w:w="3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merancang model bisnis digital halal menggunakan BMC, menyusun strategi pertumbuhan, dan menganalisis metrik kinerja bisnis digital.</w:t>
            </w:r>
          </w:p>
        </w:tc>
        <w:tc>
          <w:tcPr>
            <w:tcW w:type="dxa" w:w="4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KU-4, KK-11</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CPMK-5</w:t>
            </w:r>
          </w:p>
        </w:tc>
        <w:tc>
          <w:tcPr>
            <w:tcW w:type="dxa" w:w="3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menyusun proposal bisnis digital halal yang lengkap — mencakup aspek hukum, model bisnis, strategi, dan proyeksi keuangan — dan mempresentasikannya dalam format Demo Day.</w:t>
            </w:r>
          </w:p>
        </w:tc>
        <w:tc>
          <w:tcPr>
            <w:tcW w:type="dxa" w:w="4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KK-11, S-7</w:t>
            </w:r>
          </w:p>
        </w:tc>
      </w:tr>
    </w:tbl>
    <w:p>
      <w:pPr>
        <w:spacing w:after="200" w:before="0"/>
      </w:pPr>
      <w:r>
        <w:t xml:space="preserve"/>
      </w:r>
    </w:p>
    <w:p>
      <w:pPr>
        <w:pBdr>
          <w:bottom w:val="single" w:color="0D47A1" w:sz="8" w:space="4"/>
        </w:pBdr>
        <w:spacing w:after="120" w:before="300"/>
      </w:pPr>
      <w:r>
        <w:rPr>
          <w:rFonts w:ascii="Times New Roman" w:cs="Times New Roman" w:eastAsia="Times New Roman" w:hAnsi="Times New Roman"/>
          <w:b/>
          <w:bCs/>
          <w:caps/>
          <w:color w:val="0D47A1"/>
          <w:sz w:val="28"/>
          <w:szCs w:val="28"/>
        </w:rPr>
        <w:t xml:space="preserve">E. PETA MATERI</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400"/>
      </w:tblGrid>
      <w:tr>
        <w:tc>
          <w:tcPr>
            <w:tcW w:type="dxa" w:w="1600"/>
            <w:gridSpan w:val="1"/>
            <w:tcBorders>
              <w:top w:val="single" w:color="AAAAAA" w:sz="6"/>
              <w:left w:val="single" w:color="AAAAAA" w:sz="6"/>
              <w:bottom w:val="single" w:color="AAAAAA" w:sz="6"/>
              <w:right w:val="single" w:color="AAAAAA" w:sz="6"/>
            </w:tcBorders>
            <w:shd w:fill="0D47A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Blok</w:t>
            </w:r>
          </w:p>
        </w:tc>
        <w:tc>
          <w:tcPr>
            <w:tcW w:type="dxa" w:w="3200"/>
            <w:gridSpan w:val="1"/>
            <w:tcBorders>
              <w:top w:val="single" w:color="AAAAAA" w:sz="6"/>
              <w:left w:val="single" w:color="AAAAAA" w:sz="6"/>
              <w:bottom w:val="single" w:color="AAAAAA" w:sz="6"/>
              <w:right w:val="single" w:color="AAAAAA" w:sz="6"/>
            </w:tcBorders>
            <w:shd w:fill="0D47A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Tema</w:t>
            </w:r>
          </w:p>
        </w:tc>
        <w:tc>
          <w:tcPr>
            <w:tcW w:type="dxa" w:w="4400"/>
            <w:gridSpan w:val="1"/>
            <w:tcBorders>
              <w:top w:val="single" w:color="AAAAAA" w:sz="6"/>
              <w:left w:val="single" w:color="AAAAAA" w:sz="6"/>
              <w:bottom w:val="single" w:color="AAAAAA" w:sz="6"/>
              <w:right w:val="single" w:color="AAAAAA" w:sz="6"/>
            </w:tcBorders>
            <w:shd w:fill="0D47A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Pertemuan</w:t>
            </w:r>
          </w:p>
        </w:tc>
      </w:tr>
      <w:tr>
        <w:tc>
          <w:tcPr>
            <w:tcW w:type="dxa" w:w="16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BLOK I
Fondasi
(Mg. 1-2)</w:t>
            </w:r>
          </w:p>
        </w:tc>
        <w:tc>
          <w:tcPr>
            <w:tcW w:type="dxa" w:w="32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Ekosistem Bisnis Digital &amp; Model Bisnis Halal</w:t>
            </w:r>
          </w:p>
        </w:tc>
        <w:tc>
          <w:tcPr>
            <w:tcW w:type="dxa" w:w="44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Mg.1: Pengantar bisnis digital Islam
Mg.2: Model bisnis digital &amp; platform halal</w:t>
            </w:r>
          </w:p>
        </w:tc>
      </w:tr>
      <w:tr>
        <w:tc>
          <w:tcPr>
            <w:tcW w:type="dxa" w:w="16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BLOK II
Hukum &amp; Regulasi
(Mg. 3-4)</w:t>
            </w:r>
          </w:p>
        </w:tc>
        <w:tc>
          <w:tcPr>
            <w:tcW w:type="dxa" w:w="32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Regulasi Digital &amp; Kontrak Elektronik</w:t>
            </w:r>
          </w:p>
        </w:tc>
        <w:tc>
          <w:tcPr>
            <w:tcW w:type="dxa" w:w="44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Mg.3: Hukum bisnis digital Indonesia (UU ITE, PMSE)
Mg.4: Kontrak digital, tanda tangan elektronik, ODR</w:t>
            </w:r>
          </w:p>
        </w:tc>
      </w:tr>
      <w:tr>
        <w:tc>
          <w:tcPr>
            <w:tcW w:type="dxa" w:w="16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BLOK III
Strategi Digital
(Mg. 5-7)</w:t>
            </w:r>
          </w:p>
        </w:tc>
        <w:tc>
          <w:tcPr>
            <w:tcW w:type="dxa" w:w="32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E-Commerce Halal, Fintech Syariah &amp; Etika Digital</w:t>
            </w:r>
          </w:p>
        </w:tc>
        <w:tc>
          <w:tcPr>
            <w:tcW w:type="dxa" w:w="44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Mg.5: E-commerce halal &amp; digital marketing Islam
Mg.6: Fintech syariah - ekosistem &amp; regulasi
Mg.7: Privasi data, keamanan &amp; etika digital Islam</w:t>
            </w:r>
          </w:p>
        </w:tc>
      </w:tr>
      <w:tr>
        <w:tc>
          <w:tcPr>
            <w:tcW w:type="dxa" w:w="16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BLOK IV
Desain Bisnis
(Mg. 9-11)</w:t>
            </w:r>
          </w:p>
        </w:tc>
        <w:tc>
          <w:tcPr>
            <w:tcW w:type="dxa" w:w="32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BMC, Growth Metrics &amp; Content Digital</w:t>
            </w:r>
          </w:p>
        </w:tc>
        <w:tc>
          <w:tcPr>
            <w:tcW w:type="dxa" w:w="44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Mg.9: BMC lanjutan &amp; value proposition
Mg.10: Growth metrics &amp; unit economics
Mg.11: Content strategy &amp; social media Islam</w:t>
            </w:r>
          </w:p>
        </w:tc>
      </w:tr>
      <w:tr>
        <w:tc>
          <w:tcPr>
            <w:tcW w:type="dxa" w:w="16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BLOK V
Startup &amp; Pitch
(Mg. 12-15)</w:t>
            </w:r>
          </w:p>
        </w:tc>
        <w:tc>
          <w:tcPr>
            <w:tcW w:type="dxa" w:w="32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Legalitas Startup, Pitch Deck &amp; Demo Day</w:t>
            </w:r>
          </w:p>
        </w:tc>
        <w:tc>
          <w:tcPr>
            <w:tcW w:type="dxa" w:w="44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Mg.12: Hukum pendirian startup digital halal
Mg.13: Pitch deck &amp; fundraising halal
Mg.14: Finalisasi &amp; simulasi
Mg.15: Demo Day - Pitch kepada panel</w:t>
            </w:r>
          </w:p>
        </w:tc>
      </w:tr>
    </w:tbl>
    <w:p>
      <w:pPr>
        <w:spacing w:after="200" w:before="0"/>
      </w:pPr>
      <w:r>
        <w:t xml:space="preserve"/>
      </w:r>
    </w:p>
    <w:p>
      <w:pPr>
        <w:pBdr>
          <w:bottom w:val="single" w:color="0D47A1" w:sz="8" w:space="4"/>
        </w:pBdr>
        <w:spacing w:after="120" w:before="300"/>
      </w:pPr>
      <w:r>
        <w:rPr>
          <w:rFonts w:ascii="Times New Roman" w:cs="Times New Roman" w:eastAsia="Times New Roman" w:hAnsi="Times New Roman"/>
          <w:b/>
          <w:bCs/>
          <w:caps/>
          <w:color w:val="0D47A1"/>
          <w:sz w:val="28"/>
          <w:szCs w:val="28"/>
        </w:rPr>
        <w:t xml:space="preserve">F. MATRIKS 16 PERTEMUAN</w:t>
      </w:r>
    </w:p>
    <w:p>
      <w:pPr>
        <w:spacing w:after="80" w:before="60"/>
        <w:jc w:val="both"/>
      </w:pPr>
      <w:r>
        <w:rPr>
          <w:rFonts w:ascii="Times New Roman" w:cs="Times New Roman" w:eastAsia="Times New Roman" w:hAnsi="Times New Roman"/>
          <w:color w:val="000000"/>
          <w:sz w:val="22"/>
          <w:szCs w:val="22"/>
        </w:rPr>
        <w:t xml:space="preserve">2 SKS = 100 menit per pertemuan. Mg.8 = UTS. Mg.15 (latar biru muda) = Demo Day. Mg.16 = UAS.</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2500"/>
        <w:gridCol w:w="2600"/>
        <w:gridCol w:w="900"/>
        <w:gridCol w:w="500"/>
        <w:gridCol w:w="1500"/>
      </w:tblGrid>
      <w:tr>
        <w:tc>
          <w:tcPr>
            <w:tcW w:type="dxa" w:w="500"/>
            <w:gridSpan w:val="1"/>
            <w:tcBorders>
              <w:top w:val="single" w:color="AAAAAA" w:sz="6"/>
              <w:left w:val="single" w:color="AAAAAA" w:sz="6"/>
              <w:bottom w:val="single" w:color="AAAAAA" w:sz="6"/>
              <w:right w:val="single" w:color="AAAAAA" w:sz="6"/>
            </w:tcBorders>
            <w:shd w:fill="0D47A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Mg</w:t>
            </w:r>
          </w:p>
        </w:tc>
        <w:tc>
          <w:tcPr>
            <w:tcW w:type="dxa" w:w="700"/>
            <w:gridSpan w:val="1"/>
            <w:tcBorders>
              <w:top w:val="single" w:color="AAAAAA" w:sz="6"/>
              <w:left w:val="single" w:color="AAAAAA" w:sz="6"/>
              <w:bottom w:val="single" w:color="AAAAAA" w:sz="6"/>
              <w:right w:val="single" w:color="AAAAAA" w:sz="6"/>
            </w:tcBorders>
            <w:shd w:fill="0D47A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CPMK</w:t>
            </w:r>
          </w:p>
        </w:tc>
        <w:tc>
          <w:tcPr>
            <w:tcW w:type="dxa" w:w="2500"/>
            <w:gridSpan w:val="1"/>
            <w:tcBorders>
              <w:top w:val="single" w:color="AAAAAA" w:sz="6"/>
              <w:left w:val="single" w:color="AAAAAA" w:sz="6"/>
              <w:bottom w:val="single" w:color="AAAAAA" w:sz="6"/>
              <w:right w:val="single" w:color="AAAAAA" w:sz="6"/>
            </w:tcBorders>
            <w:shd w:fill="0D47A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Sub-CPMK</w:t>
            </w:r>
          </w:p>
        </w:tc>
        <w:tc>
          <w:tcPr>
            <w:tcW w:type="dxa" w:w="2600"/>
            <w:gridSpan w:val="1"/>
            <w:tcBorders>
              <w:top w:val="single" w:color="AAAAAA" w:sz="6"/>
              <w:left w:val="single" w:color="AAAAAA" w:sz="6"/>
              <w:bottom w:val="single" w:color="AAAAAA" w:sz="6"/>
              <w:right w:val="single" w:color="AAAAAA" w:sz="6"/>
            </w:tcBorders>
            <w:shd w:fill="0D47A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Materi</w:t>
            </w:r>
          </w:p>
        </w:tc>
        <w:tc>
          <w:tcPr>
            <w:tcW w:type="dxa" w:w="900"/>
            <w:gridSpan w:val="1"/>
            <w:tcBorders>
              <w:top w:val="single" w:color="AAAAAA" w:sz="6"/>
              <w:left w:val="single" w:color="AAAAAA" w:sz="6"/>
              <w:bottom w:val="single" w:color="AAAAAA" w:sz="6"/>
              <w:right w:val="single" w:color="AAAAAA" w:sz="6"/>
            </w:tcBorders>
            <w:shd w:fill="0D47A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Metode</w:t>
            </w:r>
          </w:p>
        </w:tc>
        <w:tc>
          <w:tcPr>
            <w:tcW w:type="dxa" w:w="500"/>
            <w:gridSpan w:val="1"/>
            <w:tcBorders>
              <w:top w:val="single" w:color="AAAAAA" w:sz="6"/>
              <w:left w:val="single" w:color="AAAAAA" w:sz="6"/>
              <w:bottom w:val="single" w:color="AAAAAA" w:sz="6"/>
              <w:right w:val="single" w:color="AAAAAA" w:sz="6"/>
            </w:tcBorders>
            <w:shd w:fill="0D47A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Wkt</w:t>
            </w:r>
          </w:p>
        </w:tc>
        <w:tc>
          <w:tcPr>
            <w:tcW w:type="dxa" w:w="1500"/>
            <w:gridSpan w:val="1"/>
            <w:tcBorders>
              <w:top w:val="single" w:color="AAAAAA" w:sz="6"/>
              <w:left w:val="single" w:color="AAAAAA" w:sz="6"/>
              <w:bottom w:val="single" w:color="AAAAAA" w:sz="6"/>
              <w:right w:val="single" w:color="AAAAAA" w:sz="6"/>
            </w:tcBorders>
            <w:shd w:fill="0D47A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Penilaian</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w:t>
            </w:r>
          </w:p>
        </w:tc>
        <w:tc>
          <w:tcPr>
            <w:tcW w:type="dxa" w:w="2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menjelaskan konsep bisnis digital, ekosistem ekonomi digital Indonesia, dan mengidentifikasi peluang bisnis halal dalam transformasi digital.</w:t>
            </w:r>
          </w:p>
        </w:tc>
        <w:tc>
          <w:tcPr>
            <w:tcW w:type="dxa" w:w="2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Pengantar Bisnis Digital Islam: Definisi bisnis digital; Ekonomi digital Indonesia: data Katadata 2024 (nilai ekonomi digital Rp 2.000 triliun+); Ekosistem digital: e-commerce, fintech, edtech, healthtech, halal platform; Transformasi digital dan peluang bisnis halal; Bisnis digital Islam: mengintegrasikan prinsip syariah dalam ekosistem digital; Hukum bisnis digital dalam Islam: apakah bisnis online sah?; Standar transaksi digital Islam: DSN-MUI fatwa e-commerce; Data: penetrasi internet Indonesia 2024 (&gt;210 juta pengguna).</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Diskusi; Analisis ekosistem digital</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Kehadiran &amp; partisipasi</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w:t>
            </w:r>
          </w:p>
        </w:tc>
        <w:tc>
          <w:tcPr>
            <w:tcW w:type="dxa" w:w="2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menganalisis model-model bisnis digital dan mengidentifikasi model yang paling sesuai untuk bisnis halal.</w:t>
            </w:r>
          </w:p>
        </w:tc>
        <w:tc>
          <w:tcPr>
            <w:tcW w:type="dxa" w:w="2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Model Bisnis Digital &amp; Platform Halal: Model bisnis digital: B2C, B2B, C2C, B2G, subscription, freemium, marketplace; Platform model vs pipeline model; Business Model Canvas (BMC) untuk bisnis digital; Bisnis platform halal: Tokopedia Salam, Shopee Muslim, Traveloka Umroh, Kitabisa (donasi halal); Keunggulan bisnis platform: network effects, data moat; Regulasi e-commerce Indonesia: PP No. 80/2019; Tantangan bisnis digital halal: sertifikasi, trust, konsumen Muslim yang kritis.</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Analisis platform halal; Workshop BMC</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Workshop BMC: bisnis digital halal pilihan (5%)</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3</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CPMK-2</w:t>
            </w:r>
          </w:p>
        </w:tc>
        <w:tc>
          <w:tcPr>
            <w:tcW w:type="dxa" w:w="2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menganalisis aspek hukum dan regulasi bisnis digital di Indonesia termasuk perlindungan konsumen dan hak kekayaan intelektual digital.</w:t>
            </w:r>
          </w:p>
        </w:tc>
        <w:tc>
          <w:tcPr>
            <w:tcW w:type="dxa" w:w="2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Hukum &amp; Regulasi Bisnis Digital: UU ITE (No. 11/2008 jo No. 19/2016): hak dan kewajiban pelaku usaha digital; UU Perlindungan Konsumen No. 8/1999: hak konsumen digital; UU Perdagangan No. 7/2013: perdagangan elektronik; PP No. 80/2019 tentang perdagangan melalui sistem elektronik (PMSE); POJK No. 77/2016 tentang LPMUB (P2P lending); Regulasi fintech OJK; Hak kekayaan intelektual digital: hak cipta konten, merek digital; GDPR dan UU Perlindungan Data Pribadi Indonesia; Aspek syariah: transaksi elektronik dalam Islam.</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Analisis regulasi; Studi kasus</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regulasi bisnis digital Islam di Indonesia</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4</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CPMK-2</w:t>
            </w:r>
          </w:p>
        </w:tc>
        <w:tc>
          <w:tcPr>
            <w:tcW w:type="dxa" w:w="2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menganalisis aspek hukum kontrak digital, tanda tangan elektronik, dan penyelesaian sengketa bisnis digital.</w:t>
            </w:r>
          </w:p>
        </w:tc>
        <w:tc>
          <w:tcPr>
            <w:tcW w:type="dxa" w:w="2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Kontrak Digital &amp; Perlindungan Hukum: Kontrak elektronik: sah secara hukum Indonesia (UU ITE Pasal 18); Syarat sahnya kontrak elektronik: offer, acceptance, consideration; Tanda tangan elektronik: kekuatan hukum (PP No. 82/2012); Klausula baku dalam kontrak digital: perlindungan konsumen; Penyelesaian sengketa online (ODR): mediasi digital, arbitrase online; Sengketa e-commerce: bagaimana mekanismenya?; Hukum Islam tentang kontrak digital: akad dalam transaksi elektronik; Khiyar dalam e-commerce: hak pembatalan sesuai syariah.</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Analisis kontrak digital; Diskusi</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kontrak: syarat dan ketentuan platform halal (5%)</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5</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CPMK-3</w:t>
            </w:r>
          </w:p>
        </w:tc>
        <w:tc>
          <w:tcPr>
            <w:tcW w:type="dxa" w:w="2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menganalisis model e-commerce dan strategi pemasaran digital untuk bisnis halal.</w:t>
            </w:r>
          </w:p>
        </w:tc>
        <w:tc>
          <w:tcPr>
            <w:tcW w:type="dxa" w:w="2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E-Commerce &amp; Pemasaran Digital Halal: Model e-commerce: marketplace (Tokopedia, Shopee) vs direct-to-consumer; Halal marketplace: Tokopedia Salam, Shopee Muslim, HijUp; SEO (Search Engine Optimization) untuk produk halal; SEM (Search Engine Marketing): Google Ads halal; Social media marketing Islam: konten yang halal dan berkah; Content marketing: dakwah ekonomi melalui konten digital; Influencer marketing: hukum endorsement dalam Islam; Data analytics untuk bisnis halal: memahami perilaku konsumen Muslim digital; Email marketing syariah.</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Workshop digital marketing; Analisis</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Workshop: strategi digital marketing bisnis halal (5%)</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6</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CPMK-3</w:t>
            </w:r>
          </w:p>
        </w:tc>
        <w:tc>
          <w:tcPr>
            <w:tcW w:type="dxa" w:w="2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menganalisis fintech syariah sebagai ekosistem bisnis digital Islam yang berkembang pesat.</w:t>
            </w:r>
          </w:p>
        </w:tc>
        <w:tc>
          <w:tcPr>
            <w:tcW w:type="dxa" w:w="2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Fintech Syariah - Ekosistem Bisnis Digital Islam: Definisi fintech; Klasifikasi fintech OJK: payment, lending, investment, insurance, others; Fintech syariah di Indonesia: OJK Fintech Syariah 2024; Payment syariah: dompet digital halal, QRIS untuk produk halal; P2P lending syariah: akad yang digunakan, regulasi OJK; Equity crowdfunding syariah: investasi digital halal; Robo-advisor syariah: portofolio saham syariah otomatis; InsurTech syariah: takaful digital; Waqf tech: digitalisasi wakaf; Zakat tech: platform zakat digital BAZNAS, Kitabisa.</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Analisis fintech syariah; Diskusi</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ekosistem fintech syariah Indonesia 2024 (5%)</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7</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CPMK-3</w:t>
            </w:r>
          </w:p>
        </w:tc>
        <w:tc>
          <w:tcPr>
            <w:tcW w:type="dxa" w:w="2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menganalisis isu-isu kritis bisnis digital: privasi data, keamanan siber, dan etika bisnis digital dalam perspektif Islam.</w:t>
            </w:r>
          </w:p>
        </w:tc>
        <w:tc>
          <w:tcPr>
            <w:tcW w:type="dxa" w:w="2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Privasi Data, Keamanan &amp; Etika Digital Islam: Data privacy: nilai data pengguna; UU Perlindungan Data Pribadi Indonesia; Keamanan siber (cybersecurity): ancaman terhadap bisnis digital; Kejahatan siber: phishing, penipuan e-commerce, hoaks; Etika penggunaan data dalam Islam: larangan memata-matai (tajassus) dalam konteks digital; Hoaks dan disinformasi bisnis: tanggung jawab Muslim; Digital trust: mengapa kepercayaan sangat penting dalam bisnis digital Islam; Halal digital ecosystem: bagaimana memastikan seluruh rantai nilai digital tetap halal?</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Analisis kasus; Diskusi etika digital</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isu privasi data dan etika digital perspektif Islam</w:t>
            </w:r>
          </w:p>
        </w:tc>
      </w:tr>
      <w:tr>
        <w:tc>
          <w:tcPr>
            <w:tcW w:type="dxa" w:w="5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8</w:t>
            </w:r>
          </w:p>
        </w:tc>
        <w:tc>
          <w:tcPr>
            <w:tcW w:type="dxa" w:w="7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CPMK-1,2,3</w:t>
            </w:r>
          </w:p>
        </w:tc>
        <w:tc>
          <w:tcPr>
            <w:tcW w:type="dxa" w:w="25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UJIAN TENGAH SEMESTER (UTS) - Mg.1-7.</w:t>
            </w:r>
          </w:p>
        </w:tc>
        <w:tc>
          <w:tcPr>
            <w:tcW w:type="dxa" w:w="26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Komprehensif: pengantar bisnis digital, model bisnis digital, regulasi, kontrak digital, e-commerce halal, fintech syariah, etika digital Islam. Soal uraian analitis.</w:t>
            </w:r>
          </w:p>
        </w:tc>
        <w:tc>
          <w:tcPr>
            <w:tcW w:type="dxa" w:w="9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Ujian tulis</w:t>
            </w:r>
          </w:p>
        </w:tc>
        <w:tc>
          <w:tcPr>
            <w:tcW w:type="dxa" w:w="5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UTS: 25%</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9</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CPMK-4</w:t>
            </w:r>
          </w:p>
        </w:tc>
        <w:tc>
          <w:tcPr>
            <w:tcW w:type="dxa" w:w="2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merancang model bisnis digital halal menggunakan Business Model Canvas dan Value Proposition Canvas.</w:t>
            </w:r>
          </w:p>
        </w:tc>
        <w:tc>
          <w:tcPr>
            <w:tcW w:type="dxa" w:w="2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Desain Model Bisnis Digital Halal I: Business Model Canvas (BMC) mendalam: 9 blok; Value Proposition Canvas: pains, gains, customer jobs; Mendesain untuk segmen Muslim digital; Unique Value Proposition bisnis digital halal; Revenue streams halal: model monetisasi yang sesuai syariah; Key activities dan key resources bisnis digital; Cost structure dan unit economics; Pivot: bagaimana mengubah model bisnis ketika gagal; Workshop: menyempurnakan BMC bisnis digital halal kelompok.</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Workshop BMC lanjutan; Coaching kelompok</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BMC lengkap: bisnis digital halal kelompok</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CPMK-4</w:t>
            </w:r>
          </w:p>
        </w:tc>
        <w:tc>
          <w:tcPr>
            <w:tcW w:type="dxa" w:w="2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merancang strategi pertumbuhan bisnis digital dan menganalisis metrik kinerja digital.</w:t>
            </w:r>
          </w:p>
        </w:tc>
        <w:tc>
          <w:tcPr>
            <w:tcW w:type="dxa" w:w="2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Desain Model Bisnis Digital Halal II - Growth &amp; Metrics: Strategi growth hacking halal: viral growth, referral, content; Customer acquisition cost (CAC) vs lifetime value (LTV); Metrik bisnis digital: MAU, DAU, conversion rate, churn rate, NPS; Pirate metrics (AARRR): Acquisition, Activation, Retention, Revenue, Referral; OKR (Objectives and Key Results) untuk startup halal; Unit economics: kapan bisnis digital jadi profitable?; Scaling: dari MVP ke produk matang; Fundraising halal: angel investor Muslim, VC syariah, equity crowdfunding halal.</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Workshop metrics; Analisis kasus</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growth metrics bisnis digital halal pilihan</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11</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CPMK-4</w:t>
            </w:r>
          </w:p>
        </w:tc>
        <w:tc>
          <w:tcPr>
            <w:tcW w:type="dxa" w:w="2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membuat konten digital yang berkualitas dan mengelola media sosial untuk bisnis halal secara efektif.</w:t>
            </w:r>
          </w:p>
        </w:tc>
        <w:tc>
          <w:tcPr>
            <w:tcW w:type="dxa" w:w="2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Konten Digital &amp; Media Sosial Islam: Content strategy: merencanakan konten yang bermanfaat dan menarik; Format konten: artikel, video, podcast, infografis, live streaming; Algoritma platform: memahami cara kerja TikTok, Instagram, YouTube; Dakwah digital melalui konten bisnis: menggabungkan nilai Islam dengan konten komersial; Personal branding Muslim entrepreneur; Community building online: membangun komunitas Muslim yang loyal; Tools gratis untuk content creation: Canva, CapCut, ChatGPT; Analitik konten: cara mengukur efektivitas konten.</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Workshop content creation; Praktik membuat konten</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Buat 3 konten digital bisnis halal + analisis engagement</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12</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CPMK-5</w:t>
            </w:r>
          </w:p>
        </w:tc>
        <w:tc>
          <w:tcPr>
            <w:tcW w:type="dxa" w:w="2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menganalisis aspek hukum pendirian startup digital dan menyusun kerangka legalitas bisnis digital yang tepat.</w:t>
            </w:r>
          </w:p>
        </w:tc>
        <w:tc>
          <w:tcPr>
            <w:tcW w:type="dxa" w:w="2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Startup Digital - Aspek Hukum &amp; Legalitas: Bentuk badan usaha digital: PT, CV, Firma, Yayasan; Startup tech: mengapa PT lebih dianjurkan?; Pendaftaran OSS (Online Single Submission) - NIB; Perizinan khusus fintech: OJK sandbox; Hak kekayaan intelektual: mendaftarkan merek, logo, hak cipta; Perjanjian co-founder: equity split, vesting schedule; Term sheet dan shareholders agreement; Hukum ketenagakerjaan startup: freelancer vs karyawan; Pajak bisnis digital: PPh e-commerce, PPN digital; POJK tentang inovasi keuangan digital.</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Analisis regulasi startup; Workshop</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Kerangka legalitas: startup digital halal pilihan (5%)</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13</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CPMK-5</w:t>
            </w:r>
          </w:p>
        </w:tc>
        <w:tc>
          <w:tcPr>
            <w:tcW w:type="dxa" w:w="2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menyusun pitch deck bisnis digital halal yang meyakinkan untuk investor.</w:t>
            </w:r>
          </w:p>
        </w:tc>
        <w:tc>
          <w:tcPr>
            <w:tcW w:type="dxa" w:w="2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Pitch Deck &amp; Fundraising Bisnis Digital Halal: Anatomi pitch deck: problem, solution, market size, business model, traction, team, financials, ask; Storytelling dalam pitch: menghubungkan data dengan emosi; Investor mindset: apa yang dicari investor dari bisnis digital halal?; Ekosistem VC syariah dan investor Muslim; Persiapan due diligence: dokumen yang harus siap; Financial projections: proyeksi 3-5 tahun; Term sheet negotiation; Simulasi pitch: menghadapi pertanyaan investor; Workshop: menyempurnakan pitch deck kelompok.</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Workshop pitch deck; Simulasi investor Q&amp;A</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Pitch deck: bisnis digital halal kelompok</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14</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CPMK-5</w:t>
            </w:r>
          </w:p>
        </w:tc>
        <w:tc>
          <w:tcPr>
            <w:tcW w:type="dxa" w:w="2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mengintegrasikan seluruh konsep bisnis digital Islam dan menyempurnakan proposal bisnis digital untuk presentasi final.</w:t>
            </w:r>
          </w:p>
        </w:tc>
        <w:tc>
          <w:tcPr>
            <w:tcW w:type="dxa" w:w="2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Sintesis &amp; Finalisasi Proposal Bisnis Digital: Review menyeluruh: dari model bisnis ke regulasi ke marketing ke legalitas ke pitch; Menyempurnakan pitch deck berdasarkan feedback Mg.13; Persiapan demo produk/prototype jika ada; Coaching intensif per kelompok; Tips presentasi bisnis digital yang meyakinkan; Peer review antar kelompok.</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Workshop finalisasi; Coaching; Peer review</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Pitch deck + proposal bisnis digital final</w:t>
            </w:r>
          </w:p>
        </w:tc>
      </w:tr>
      <w:tr>
        <w:tc>
          <w:tcPr>
            <w:tcW w:type="dxa" w:w="5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w:t>
            </w:r>
          </w:p>
        </w:tc>
        <w:tc>
          <w:tcPr>
            <w:tcW w:type="dxa" w:w="7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 s.d. 5</w:t>
            </w:r>
          </w:p>
        </w:tc>
        <w:tc>
          <w:tcPr>
            <w:tcW w:type="dxa" w:w="25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mempresentasikan pitch bisnis digital halal kepada panel investor simulasi.</w:t>
            </w:r>
          </w:p>
        </w:tc>
        <w:tc>
          <w:tcPr>
            <w:tcW w:type="dxa" w:w="26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Demo Day - Pitch Bisnis Digital Halal: Setiap kelompok (3-4 mhs) mempresentasikan bisnis digital halal mereka dalam format Demo Day (8 mnt pitch + 5 mnt investor QA): problem, solution, market, bisnis model halal, traction/prototype, tim, financial projection, ask. Panel: dosen + tamu praktisi jika ada. Peer assessment. Review materi untuk UAS.</w:t>
            </w:r>
          </w:p>
        </w:tc>
        <w:tc>
          <w:tcPr>
            <w:tcW w:type="dxa" w:w="9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Demo Day presentasi; Panel QA; Review UAS</w:t>
            </w:r>
          </w:p>
        </w:tc>
        <w:tc>
          <w:tcPr>
            <w:tcW w:type="dxa" w:w="5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Demo Day: pitch bisnis digital halal (10%)</w:t>
            </w:r>
          </w:p>
        </w:tc>
      </w:tr>
      <w:tr>
        <w:tc>
          <w:tcPr>
            <w:tcW w:type="dxa" w:w="5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16</w:t>
            </w:r>
          </w:p>
        </w:tc>
        <w:tc>
          <w:tcPr>
            <w:tcW w:type="dxa" w:w="7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 s.d. 5</w:t>
            </w:r>
          </w:p>
        </w:tc>
        <w:tc>
          <w:tcPr>
            <w:tcW w:type="dxa" w:w="25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UJIAN AKHIR SEMESTER (UAS) - komprehensif.</w:t>
            </w:r>
          </w:p>
        </w:tc>
        <w:tc>
          <w:tcPr>
            <w:tcW w:type="dxa" w:w="26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Seluruh materi: ekosistem bisnis digital, model bisnis, regulasi, kontrak digital, e-commerce halal, fintech syariah, etika digital, BMC, growth metrics, content strategy, legalitas startup, pitch deck. Soal uraian analitis + studi kasus.</w:t>
            </w:r>
          </w:p>
        </w:tc>
        <w:tc>
          <w:tcPr>
            <w:tcW w:type="dxa" w:w="9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Ujian tulis komprehensif</w:t>
            </w:r>
          </w:p>
        </w:tc>
        <w:tc>
          <w:tcPr>
            <w:tcW w:type="dxa" w:w="5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UAS: 25%</w:t>
            </w:r>
          </w:p>
        </w:tc>
      </w:tr>
    </w:tbl>
    <w:p>
      <w:pPr>
        <w:spacing w:after="200" w:before="0"/>
      </w:pPr>
      <w:r>
        <w:t xml:space="preserve"/>
      </w:r>
    </w:p>
    <w:p>
      <w:pPr>
        <w:pBdr>
          <w:bottom w:val="single" w:color="0D47A1" w:sz="8" w:space="4"/>
        </w:pBdr>
        <w:spacing w:after="120" w:before="300"/>
      </w:pPr>
      <w:r>
        <w:rPr>
          <w:rFonts w:ascii="Times New Roman" w:cs="Times New Roman" w:eastAsia="Times New Roman" w:hAnsi="Times New Roman"/>
          <w:b/>
          <w:bCs/>
          <w:caps/>
          <w:color w:val="0D47A1"/>
          <w:sz w:val="28"/>
          <w:szCs w:val="28"/>
        </w:rPr>
        <w:t xml:space="preserve">G. SISTEM EVALUASI</w:t>
      </w:r>
    </w:p>
    <w:p>
      <w:pPr>
        <w:spacing w:after="80" w:before="200"/>
      </w:pPr>
      <w:r>
        <w:rPr>
          <w:rFonts w:ascii="Times New Roman" w:cs="Times New Roman" w:eastAsia="Times New Roman" w:hAnsi="Times New Roman"/>
          <w:b/>
          <w:bCs/>
          <w:color w:val="1565C0"/>
          <w:sz w:val="24"/>
          <w:szCs w:val="24"/>
        </w:rPr>
        <w:t xml:space="preserve">G.1 Komponen Penilaian</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800"/>
        <w:gridCol w:w="1600"/>
      </w:tblGrid>
      <w:tr>
        <w:tc>
          <w:tcPr>
            <w:tcW w:type="dxa" w:w="1800"/>
            <w:gridSpan w:val="1"/>
            <w:tcBorders>
              <w:top w:val="single" w:color="AAAAAA" w:sz="6"/>
              <w:left w:val="single" w:color="AAAAAA" w:sz="6"/>
              <w:bottom w:val="single" w:color="AAAAAA" w:sz="6"/>
              <w:right w:val="single" w:color="AAAAAA" w:sz="6"/>
            </w:tcBorders>
            <w:shd w:fill="0D47A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Komponen</w:t>
            </w:r>
          </w:p>
        </w:tc>
        <w:tc>
          <w:tcPr>
            <w:tcW w:type="dxa" w:w="4000"/>
            <w:gridSpan w:val="1"/>
            <w:tcBorders>
              <w:top w:val="single" w:color="AAAAAA" w:sz="6"/>
              <w:left w:val="single" w:color="AAAAAA" w:sz="6"/>
              <w:bottom w:val="single" w:color="AAAAAA" w:sz="6"/>
              <w:right w:val="single" w:color="AAAAAA" w:sz="6"/>
            </w:tcBorders>
            <w:shd w:fill="0D47A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Deskripsi</w:t>
            </w:r>
          </w:p>
        </w:tc>
        <w:tc>
          <w:tcPr>
            <w:tcW w:type="dxa" w:w="1800"/>
            <w:gridSpan w:val="1"/>
            <w:tcBorders>
              <w:top w:val="single" w:color="AAAAAA" w:sz="6"/>
              <w:left w:val="single" w:color="AAAAAA" w:sz="6"/>
              <w:bottom w:val="single" w:color="AAAAAA" w:sz="6"/>
              <w:right w:val="single" w:color="AAAAAA" w:sz="6"/>
            </w:tcBorders>
            <w:shd w:fill="0D47A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CPMK</w:t>
            </w:r>
          </w:p>
        </w:tc>
        <w:tc>
          <w:tcPr>
            <w:tcW w:type="dxa" w:w="1600"/>
            <w:gridSpan w:val="1"/>
            <w:tcBorders>
              <w:top w:val="single" w:color="AAAAAA" w:sz="6"/>
              <w:left w:val="single" w:color="AAAAAA" w:sz="6"/>
              <w:bottom w:val="single" w:color="AAAAAA" w:sz="6"/>
              <w:right w:val="single" w:color="AAAAAA" w:sz="6"/>
            </w:tcBorders>
            <w:shd w:fill="0D47A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Bobot</w:t>
            </w:r>
          </w:p>
        </w:tc>
      </w:tr>
      <w:tr>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Kehadiran &amp; Partisipasi</w:t>
            </w:r>
          </w:p>
        </w:tc>
        <w:tc>
          <w:tcPr>
            <w:tcW w:type="dxa" w:w="4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Presensi min. 75%. Aktif dalam diskusi, workshop digital, content creation, dan simulasi pitch.</w:t>
            </w:r>
          </w:p>
        </w:tc>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CPMK 1-5</w:t>
            </w:r>
          </w:p>
        </w:tc>
        <w:tc>
          <w:tcPr>
            <w:tcW w:type="dxa" w:w="1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w:t>
            </w:r>
          </w:p>
        </w:tc>
      </w:tr>
      <w:tr>
        <w:tc>
          <w:tcPr>
            <w:tcW w:type="dxa" w:w="1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Tugas Terstruktur (5 tugas)</w:t>
            </w:r>
          </w:p>
        </w:tc>
        <w:tc>
          <w:tcPr>
            <w:tcW w:type="dxa" w:w="40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(1) BMC bisnis digital halal; (2) Analisis kontrak digital platform halal; (3) Fintech syariah Indonesia 2024; (4) Digital marketing workshop (3 konten); (5) Kerangka legalitas startup halal.</w:t>
            </w:r>
          </w:p>
        </w:tc>
        <w:tc>
          <w:tcPr>
            <w:tcW w:type="dxa" w:w="1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CPMK 1,2,3,4</w:t>
            </w:r>
          </w:p>
        </w:tc>
        <w:tc>
          <w:tcPr>
            <w:tcW w:type="dxa" w:w="1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25%</w:t>
            </w:r>
          </w:p>
        </w:tc>
      </w:tr>
      <w:tr>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Demo Day - Pitch Bisnis Digital (Kelompok)</w:t>
            </w:r>
          </w:p>
        </w:tc>
        <w:tc>
          <w:tcPr>
            <w:tcW w:type="dxa" w:w="4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Pitch bisnis digital halal Mg.15 (3-4 mhs): problem, solution, BMC, traction, tim, keuangan, ask. 8 mnt + QA.</w:t>
            </w:r>
          </w:p>
        </w:tc>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CPMK 4,5</w:t>
            </w:r>
          </w:p>
        </w:tc>
        <w:tc>
          <w:tcPr>
            <w:tcW w:type="dxa" w:w="1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w:t>
            </w:r>
          </w:p>
        </w:tc>
      </w:tr>
      <w:tr>
        <w:tc>
          <w:tcPr>
            <w:tcW w:type="dxa" w:w="1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UTS</w:t>
            </w:r>
          </w:p>
        </w:tc>
        <w:tc>
          <w:tcPr>
            <w:tcW w:type="dxa" w:w="40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Ujian tulis 90 mnt: uraian analitis. Materi Mg.1-7.</w:t>
            </w:r>
          </w:p>
        </w:tc>
        <w:tc>
          <w:tcPr>
            <w:tcW w:type="dxa" w:w="1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CPMK 1,2,3</w:t>
            </w:r>
          </w:p>
        </w:tc>
        <w:tc>
          <w:tcPr>
            <w:tcW w:type="dxa" w:w="1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25%</w:t>
            </w:r>
          </w:p>
        </w:tc>
      </w:tr>
      <w:tr>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UAS</w:t>
            </w:r>
          </w:p>
        </w:tc>
        <w:tc>
          <w:tcPr>
            <w:tcW w:type="dxa" w:w="4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Ujian tulis 90 mnt: uraian analitis + studi kasus bisnis digital halal komprehensif.</w:t>
            </w:r>
          </w:p>
        </w:tc>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CPMK 1-5</w:t>
            </w:r>
          </w:p>
        </w:tc>
        <w:tc>
          <w:tcPr>
            <w:tcW w:type="dxa" w:w="1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25%</w:t>
            </w:r>
          </w:p>
        </w:tc>
      </w:tr>
      <w:tr>
        <w:tc>
          <w:tcPr>
            <w:tcW w:type="dxa" w:w="18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TOTAL</w:t>
            </w:r>
          </w:p>
        </w:tc>
        <w:tc>
          <w:tcPr>
            <w:tcW w:type="dxa" w:w="40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
            </w:r>
          </w:p>
        </w:tc>
        <w:tc>
          <w:tcPr>
            <w:tcW w:type="dxa" w:w="18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w:r>
          </w:p>
        </w:tc>
        <w:tc>
          <w:tcPr>
            <w:tcW w:type="dxa" w:w="16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100%</w:t>
            </w:r>
          </w:p>
        </w:tc>
      </w:tr>
    </w:tbl>
    <w:p>
      <w:pPr>
        <w:spacing w:after="160" w:before="0"/>
      </w:pPr>
      <w:r>
        <w:t xml:space="preserve"/>
      </w:r>
    </w:p>
    <w:p>
      <w:pPr>
        <w:spacing w:after="80" w:before="200"/>
      </w:pPr>
      <w:r>
        <w:rPr>
          <w:rFonts w:ascii="Times New Roman" w:cs="Times New Roman" w:eastAsia="Times New Roman" w:hAnsi="Times New Roman"/>
          <w:b/>
          <w:bCs/>
          <w:color w:val="1565C0"/>
          <w:sz w:val="24"/>
          <w:szCs w:val="24"/>
        </w:rPr>
        <w:t xml:space="preserve">G.2 Ketentuan Akademik</w:t>
      </w:r>
    </w:p>
    <w:p>
      <w:pPr>
        <w:pStyle w:val="ListParagraph"/>
        <w:numPr>
          <w:ilvl w:val="0"/>
          <w:numId w:val="2"/>
        </w:numPr>
        <w:spacing w:after="40" w:before="40"/>
      </w:pPr>
      <w:r>
        <w:rPr>
          <w:rFonts w:ascii="Times New Roman" w:cs="Times New Roman" w:eastAsia="Times New Roman" w:hAnsi="Times New Roman"/>
          <w:sz w:val="22"/>
          <w:szCs w:val="22"/>
        </w:rPr>
        <w:t xml:space="preserve">Nilai akhir minimal C (55) untuk lulus.</w:t>
      </w:r>
    </w:p>
    <w:p>
      <w:pPr>
        <w:pStyle w:val="ListParagraph"/>
        <w:numPr>
          <w:ilvl w:val="0"/>
          <w:numId w:val="2"/>
        </w:numPr>
        <w:spacing w:after="40" w:before="40"/>
      </w:pPr>
      <w:r>
        <w:rPr>
          <w:rFonts w:ascii="Times New Roman" w:cs="Times New Roman" w:eastAsia="Times New Roman" w:hAnsi="Times New Roman"/>
          <w:sz w:val="22"/>
          <w:szCs w:val="22"/>
        </w:rPr>
        <w:t xml:space="preserve">Kehadiran minimal 75%.</w:t>
      </w:r>
    </w:p>
    <w:p>
      <w:pPr>
        <w:pStyle w:val="ListParagraph"/>
        <w:numPr>
          <w:ilvl w:val="0"/>
          <w:numId w:val="2"/>
        </w:numPr>
        <w:spacing w:after="40" w:before="40"/>
      </w:pPr>
      <w:r>
        <w:rPr>
          <w:rFonts w:ascii="Times New Roman" w:cs="Times New Roman" w:eastAsia="Times New Roman" w:hAnsi="Times New Roman"/>
          <w:sz w:val="22"/>
          <w:szCs w:val="22"/>
        </w:rPr>
        <w:t xml:space="preserve">Seluruh proposal bisnis digital harus realistis dan mengacu pada data pasar aktual.</w:t>
      </w:r>
    </w:p>
    <w:p>
      <w:pPr>
        <w:pStyle w:val="ListParagraph"/>
        <w:numPr>
          <w:ilvl w:val="0"/>
          <w:numId w:val="2"/>
        </w:numPr>
        <w:spacing w:after="40" w:before="40"/>
      </w:pPr>
      <w:r>
        <w:rPr>
          <w:rFonts w:ascii="Times New Roman" w:cs="Times New Roman" w:eastAsia="Times New Roman" w:hAnsi="Times New Roman"/>
          <w:sz w:val="22"/>
          <w:szCs w:val="22"/>
        </w:rPr>
        <w:t xml:space="preserve">Plagiarisme termasuk penggunaan AI tanpa elaborasi sendiri mengakibatkan nilai 0.</w:t>
      </w:r>
    </w:p>
    <w:p>
      <w:pPr>
        <w:spacing w:after="200" w:before="0"/>
      </w:pPr>
      <w:r>
        <w:t xml:space="preserve"/>
      </w:r>
    </w:p>
    <w:p>
      <w:pPr>
        <w:pBdr>
          <w:bottom w:val="single" w:color="0D47A1" w:sz="8" w:space="4"/>
        </w:pBdr>
        <w:spacing w:after="120" w:before="300"/>
      </w:pPr>
      <w:r>
        <w:rPr>
          <w:rFonts w:ascii="Times New Roman" w:cs="Times New Roman" w:eastAsia="Times New Roman" w:hAnsi="Times New Roman"/>
          <w:b/>
          <w:bCs/>
          <w:caps/>
          <w:color w:val="0D47A1"/>
          <w:sz w:val="28"/>
          <w:szCs w:val="28"/>
        </w:rPr>
        <w:t xml:space="preserve">H. REFERENSI</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AAAAAA" w:sz="6"/>
              <w:left w:val="single" w:color="AAAAAA" w:sz="6"/>
              <w:bottom w:val="single" w:color="AAAAAA" w:sz="6"/>
              <w:right w:val="single" w:color="AAAAAA" w:sz="6"/>
            </w:tcBorders>
            <w:shd w:fill="0D47A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Jenis</w:t>
            </w:r>
          </w:p>
        </w:tc>
        <w:tc>
          <w:tcPr>
            <w:tcW w:type="dxa" w:w="7700"/>
            <w:gridSpan w:val="1"/>
            <w:tcBorders>
              <w:top w:val="single" w:color="AAAAAA" w:sz="6"/>
              <w:left w:val="single" w:color="AAAAAA" w:sz="6"/>
              <w:bottom w:val="single" w:color="AAAAAA" w:sz="6"/>
              <w:right w:val="single" w:color="AAAAAA" w:sz="6"/>
            </w:tcBorders>
            <w:shd w:fill="0D47A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Referensi (APA 7th Edition)</w:t>
            </w:r>
          </w:p>
        </w:tc>
      </w:tr>
      <w:tr>
        <w:tc>
          <w:tcPr>
            <w:tcW w:type="dxa" w:w="15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Wajib</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Osterwalder, A. &amp; Pigneur, Y. (2010). Business Model Generation: A Handbook for Visionaries, Game Changers, and Challengers. Wiley.</w:t>
            </w:r>
          </w:p>
        </w:tc>
      </w:tr>
      <w:tr>
        <w:tc>
          <w:tcPr>
            <w:tcW w:type="dxa" w:w="15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Wajib</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UU ITE No. 11 Tahun 2008 jo. No. 19 Tahun 2016 tentang Informasi dan Transaksi Elektronik. (2016). Lembaran Negara RI.</w:t>
            </w:r>
          </w:p>
        </w:tc>
      </w:tr>
      <w:tr>
        <w:tc>
          <w:tcPr>
            <w:tcW w:type="dxa" w:w="15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Wajib</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OJK. (2024). Laporan Perkembangan Keuangan Syariah Indonesia 2023 - Bab Fintech Syariah. OJK.</w:t>
            </w:r>
          </w:p>
        </w:tc>
      </w:tr>
      <w:tr>
        <w:tc>
          <w:tcPr>
            <w:tcW w:type="dxa" w:w="1500"/>
            <w:gridSpan w:val="1"/>
            <w:tcBorders>
              <w:top w:val="single" w:color="AAAAAA" w:sz="6"/>
              <w:left w:val="single" w:color="AAAAAA" w:sz="6"/>
              <w:bottom w:val="single" w:color="AAAAAA" w:sz="6"/>
              <w:right w:val="single" w:color="AAAAAA" w:sz="6"/>
            </w:tcBorders>
            <w:shd w:fill="E3F2FD"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Wajib</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PP No. 80 Tahun 2019 tentang Perdagangan Melalui Sistem Elektronik (PMSE). (2019). Lembaran Negara RI.</w:t>
            </w:r>
          </w:p>
        </w:tc>
      </w:tr>
      <w:tr>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Pendukung</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Blank, S. &amp; Dorf, B. (2012). The Startup Owner's Manual: The Step-by-Step Guide for Building a Great Company. K&amp;S Ranch.</w:t>
            </w:r>
          </w:p>
        </w:tc>
      </w:tr>
      <w:tr>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Pendukung</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Ries, E. (2011). The Lean Startup: How Today's Entrepreneurs Use Continuous Innovation. Crown Business.</w:t>
            </w:r>
          </w:p>
        </w:tc>
      </w:tr>
      <w:tr>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Pendukung</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Chaffey, D. &amp; Ellis-Chadwick, F. (2019). Digital Marketing: Strategy, Implementation and Practice (7th ed.). Pearson.</w:t>
            </w:r>
          </w:p>
        </w:tc>
      </w:tr>
      <w:tr>
        <w:tc>
          <w:tcPr>
            <w:tcW w:type="dxa" w:w="15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Islam &amp; Digital</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DSN-MUI. (2018). Fatwa No. 116/DSN-MUI/IX/2017 tentang Uang Elektronik Syariah. DSN-MUI.</w:t>
            </w:r>
          </w:p>
        </w:tc>
      </w:tr>
      <w:tr>
        <w:tc>
          <w:tcPr>
            <w:tcW w:type="dxa" w:w="15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Islam &amp; Digital</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DSN-MUI. (2017). Fatwa No. 110/DSN-MUI/IX/2017 tentang Akad Jual Beli. DSN-MUI.</w:t>
            </w:r>
          </w:p>
        </w:tc>
      </w:tr>
      <w:tr>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Data</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Katadata Insight Center. (2024). Laporan Ekonomi Digital Indonesia 2023. Katadata.</w:t>
            </w:r>
          </w:p>
        </w:tc>
      </w:tr>
      <w:tr>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Jurnal</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Journal of Islamic Marketing. Emerald Publishing. Scopus Indexed.</w:t>
            </w:r>
          </w:p>
        </w:tc>
      </w:tr>
      <w:tr>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Jurnal</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Jurnal Ekonomi &amp; Bisnis Islam (JEBI). UAD. Sinta 2.</w:t>
            </w:r>
          </w:p>
        </w:tc>
      </w:tr>
    </w:tbl>
    <w:p>
      <w:pPr>
        <w:spacing w:after="200" w:before="0"/>
      </w:pPr>
      <w:r>
        <w:t xml:space="preserve"/>
      </w:r>
    </w:p>
    <w:p>
      <w:pPr>
        <w:pBdr>
          <w:bottom w:val="single" w:color="0D47A1" w:sz="8" w:space="4"/>
        </w:pBdr>
        <w:spacing w:after="120" w:before="300"/>
      </w:pPr>
      <w:r>
        <w:rPr>
          <w:rFonts w:ascii="Times New Roman" w:cs="Times New Roman" w:eastAsia="Times New Roman" w:hAnsi="Times New Roman"/>
          <w:b/>
          <w:bCs/>
          <w:caps/>
          <w:color w:val="0D47A1"/>
          <w:sz w:val="28"/>
          <w:szCs w:val="28"/>
        </w:rPr>
        <w:t xml:space="preserve">I. LEMBAR PENGESAHAN</w:t>
      </w:r>
    </w:p>
    <w:p>
      <w:pPr>
        <w:spacing w:after="80" w:before="0"/>
      </w:pPr>
      <w:r>
        <w:t xml:space="preserve"/>
      </w:r>
    </w:p>
    <w:p>
      <w:pPr>
        <w:spacing w:after="80" w:before="60"/>
        <w:jc w:val="both"/>
      </w:pPr>
      <w:r>
        <w:rPr>
          <w:rFonts w:ascii="Times New Roman" w:cs="Times New Roman" w:eastAsia="Times New Roman" w:hAnsi="Times New Roman"/>
          <w:color w:val="000000"/>
          <w:sz w:val="22"/>
          <w:szCs w:val="22"/>
        </w:rPr>
        <w:t xml:space="preserve">RPS ini disahkan untuk diberlakukan pada Semester VI Tahun Akademik 2025/2026 di STEI Fitrah Insani.</w:t>
      </w:r>
    </w:p>
    <w:p>
      <w:pPr>
        <w:spacing w:after="100" w:before="80"/>
        <w:jc w:val="right"/>
      </w:pPr>
      <w:r>
        <w:rPr>
          <w:rFonts w:ascii="Times New Roman" w:cs="Times New Roman" w:eastAsia="Times New Roman" w:hAnsi="Times New Roman"/>
          <w:sz w:val="22"/>
          <w:szCs w:val="22"/>
        </w:rPr>
        <w:t xml:space="preserve">Bandung Barat, Januari 2026</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7"/>
        <w:gridCol w:w="3067"/>
      </w:tblGrid>
      <w:tr>
        <w:tc>
          <w:tcPr>
            <w:tcW w:type="dxa" w:w="3066"/>
            <w:gridSpan w:val="1"/>
            <w:tcBorders>
              <w:top w:val="single" w:color="AAAAAA" w:sz="6"/>
              <w:left w:val="single" w:color="AAAAAA" w:sz="6"/>
              <w:bottom w:val="single" w:color="AAAAAA" w:sz="6"/>
              <w:right w:val="single" w:color="AAAAAA" w:sz="6"/>
            </w:tcBorders>
            <w:shd w:fill="0D47A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Disusun oleh</w:t>
            </w:r>
          </w:p>
        </w:tc>
        <w:tc>
          <w:tcPr>
            <w:tcW w:type="dxa" w:w="3067"/>
            <w:gridSpan w:val="1"/>
            <w:tcBorders>
              <w:top w:val="single" w:color="AAAAAA" w:sz="6"/>
              <w:left w:val="single" w:color="AAAAAA" w:sz="6"/>
              <w:bottom w:val="single" w:color="AAAAAA" w:sz="6"/>
              <w:right w:val="single" w:color="AAAAAA" w:sz="6"/>
            </w:tcBorders>
            <w:shd w:fill="0D47A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Diperiksa oleh</w:t>
            </w:r>
          </w:p>
        </w:tc>
        <w:tc>
          <w:tcPr>
            <w:tcW w:type="dxa" w:w="3067"/>
            <w:gridSpan w:val="1"/>
            <w:tcBorders>
              <w:top w:val="single" w:color="AAAAAA" w:sz="6"/>
              <w:left w:val="single" w:color="AAAAAA" w:sz="6"/>
              <w:bottom w:val="single" w:color="AAAAAA" w:sz="6"/>
              <w:right w:val="single" w:color="AAAAAA" w:sz="6"/>
            </w:tcBorders>
            <w:shd w:fill="0D47A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Disahkan oleh</w:t>
            </w:r>
          </w:p>
        </w:tc>
      </w:tr>
      <w:tr>
        <w:tc>
          <w:tcPr>
            <w:tcW w:type="dxa" w:w="3066"/>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Dosen Pengampu</w:t>
            </w:r>
          </w:p>
          <w:p>
            <w:pPr>
              <w:spacing w:after="400" w:before="0"/>
            </w:pPr>
            <w:r>
              <w:rPr>
                <w:sz w:val="22"/>
                <w:szCs w:val="22"/>
              </w:rPr>
              <w:t xml:space="preserve"/>
            </w:r>
          </w:p>
          <w:p>
            <w:pPr>
              <w:spacing w:after="40" w:before="0"/>
            </w:pPr>
            <w:r>
              <w:rPr>
                <w:rFonts w:ascii="Times New Roman" w:cs="Times New Roman" w:eastAsia="Times New Roman" w:hAnsi="Times New Roman"/>
                <w:b/>
                <w:bCs/>
                <w:color w:val="0D47A1"/>
                <w:sz w:val="22"/>
                <w:szCs w:val="22"/>
              </w:rPr>
              <w:t xml:space="preserve">Ikmal Mumtahaen, S.H., M.H.</w:t>
            </w:r>
          </w:p>
          <w:p>
            <w:r>
              <w:rPr>
                <w:rFonts w:ascii="Times New Roman" w:cs="Times New Roman" w:eastAsia="Times New Roman" w:hAnsi="Times New Roman"/>
                <w:sz w:val="20"/>
                <w:szCs w:val="20"/>
              </w:rPr>
              <w:t xml:space="preserve">NIDN: _______________</w:t>
            </w:r>
          </w:p>
        </w:tc>
        <w:tc>
          <w:tcPr>
            <w:tcW w:type="dxa" w:w="3067"/>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Ketua Program Studi</w:t>
            </w:r>
          </w:p>
          <w:p>
            <w:pPr>
              <w:spacing w:after="400" w:before="0"/>
            </w:pPr>
            <w:r>
              <w:rPr>
                <w:sz w:val="22"/>
                <w:szCs w:val="22"/>
              </w:rPr>
              <w:t xml:space="preserve"/>
            </w:r>
          </w:p>
          <w:p>
            <w:pPr>
              <w:spacing w:after="40" w:before="0"/>
            </w:pPr>
            <w:r>
              <w:rPr>
                <w:rFonts w:ascii="Times New Roman" w:cs="Times New Roman" w:eastAsia="Times New Roman" w:hAnsi="Times New Roman"/>
                <w:b/>
                <w:bCs/>
                <w:color w:val="0D47A1"/>
                <w:sz w:val="22"/>
                <w:szCs w:val="22"/>
              </w:rPr>
              <w:t xml:space="preserve">Nila Nopianti, S.E.Sy., M.E.</w:t>
            </w:r>
          </w:p>
          <w:p>
            <w:r>
              <w:rPr>
                <w:rFonts w:ascii="Times New Roman" w:cs="Times New Roman" w:eastAsia="Times New Roman" w:hAnsi="Times New Roman"/>
                <w:sz w:val="20"/>
                <w:szCs w:val="20"/>
              </w:rPr>
              <w:t xml:space="preserve">NIDN: _______________</w:t>
            </w:r>
          </w:p>
        </w:tc>
        <w:tc>
          <w:tcPr>
            <w:tcW w:type="dxa" w:w="3067"/>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Wakil Ketua I Bidang Akademik</w:t>
            </w:r>
          </w:p>
          <w:p>
            <w:pPr>
              <w:spacing w:after="400" w:before="0"/>
            </w:pPr>
            <w:r>
              <w:rPr>
                <w:sz w:val="22"/>
                <w:szCs w:val="22"/>
              </w:rPr>
              <w:t xml:space="preserve"/>
            </w:r>
          </w:p>
          <w:p>
            <w:pPr>
              <w:spacing w:after="40" w:before="0"/>
            </w:pPr>
            <w:r>
              <w:rPr>
                <w:rFonts w:ascii="Times New Roman" w:cs="Times New Roman" w:eastAsia="Times New Roman" w:hAnsi="Times New Roman"/>
                <w:b/>
                <w:bCs/>
                <w:color w:val="0D47A1"/>
                <w:sz w:val="22"/>
                <w:szCs w:val="22"/>
              </w:rPr>
              <w:t xml:space="preserve">Izzuddin Edi Siswanto, Lc., M.A.</w:t>
            </w:r>
          </w:p>
          <w:p>
            <w:r>
              <w:rPr>
                <w:rFonts w:ascii="Times New Roman" w:cs="Times New Roman" w:eastAsia="Times New Roman" w:hAnsi="Times New Roman"/>
                <w:sz w:val="20"/>
                <w:szCs w:val="20"/>
              </w:rPr>
              <w:t xml:space="preserve">NIDN: _______________</w:t>
            </w:r>
          </w:p>
        </w:tc>
      </w:tr>
    </w:tbl>
    <w:p>
      <w:pPr>
        <w:spacing w:after="200" w:before="0"/>
      </w:pPr>
      <w:r>
        <w:t xml:space="preserve"/>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47A1" w:sz="4" w:space="4"/>
      </w:pBdr>
      <w:spacing w:after="0" w:before="60"/>
      <w:jc w:val="center"/>
    </w:pPr>
    <w:r>
      <w:rPr>
        <w:rFonts w:ascii="Times New Roman" w:cs="Times New Roman" w:eastAsia="Times New Roman" w:hAnsi="Times New Roman"/>
        <w:color w:val="555555"/>
        <w:sz w:val="18"/>
        <w:szCs w:val="18"/>
      </w:rPr>
      <w:t xml:space="preserve">Halaman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Pr>
        <w:rFonts w:ascii="Times New Roman" w:cs="Times New Roman" w:eastAsia="Times New Roman" w:hAnsi="Times New Roman"/>
        <w:color w:val="555555"/>
        <w:sz w:val="18"/>
        <w:szCs w:val="18"/>
      </w:rPr>
      <w:t xml:space="preserve"> dari </w:t>
    </w:r>
    <w:r>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47A1" w:sz="6" w:space="4"/>
      </w:pBdr>
      <w:spacing w:after="60" w:before="0"/>
      <w:jc w:val="right"/>
    </w:pPr>
    <w:r>
      <w:rPr>
        <w:rFonts w:ascii="Times New Roman" w:cs="Times New Roman" w:eastAsia="Times New Roman" w:hAnsi="Times New Roman"/>
        <w:color w:val="1565C0"/>
        <w:sz w:val="18"/>
        <w:szCs w:val="18"/>
      </w:rPr>
      <w:t xml:space="preserve">RPS | Bisnis Digital | MKI11102/12102 | STEI Fitrah Insani | TA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2026-06-08T07:20:35.532Z</dcterms:created>
  <dcterms:modified xsi:type="dcterms:W3CDTF">2026-06-08T07:20:35.532Z</dcterms:modified>
</cp:coreProperties>
</file>

<file path=docProps/custom.xml><?xml version="1.0" encoding="utf-8"?>
<Properties xmlns="http://schemas.openxmlformats.org/officeDocument/2006/custom-properties" xmlns:vt="http://schemas.openxmlformats.org/officeDocument/2006/docPropsVTypes"/>
</file>