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Times New Roman" w:cs="Times New Roman" w:eastAsia="Times New Roman" w:hAnsi="Times New Roman"/>
          <w:b/>
          <w:bCs/>
          <w:color w:val="1B5E20"/>
          <w:sz w:val="36"/>
          <w:szCs w:val="36"/>
        </w:rPr>
        <w:t xml:space="preserve">RENCANA PEMBELAJARAN SEMESTER (RPS)</w:t>
      </w:r>
    </w:p>
    <w:p>
      <w:pPr>
        <w:pBdr>
          <w:bottom w:val="thick" w:color="B45309" w:sz="12" w:space="4"/>
        </w:pBdr>
        <w:spacing w:after="80" w:before="0"/>
        <w:jc w:val="center"/>
      </w:pPr>
      <w:r>
        <w:rPr>
          <w:sz w:val="28"/>
          <w:szCs w:val="28"/>
        </w:rPr>
        <w:t xml:space="preserve"/>
      </w:r>
    </w:p>
    <w:p>
      <w:pPr>
        <w:spacing w:after="160" w:before="0"/>
      </w:pPr>
      <w:r>
        <w:t xml:space="preserve"/>
      </w:r>
    </w:p>
    <w:p>
      <w:pPr>
        <w:spacing w:after="40" w:before="60"/>
        <w:jc w:val="center"/>
      </w:pPr>
      <w:r>
        <w:rPr>
          <w:rFonts w:ascii="Times New Roman" w:cs="Times New Roman" w:eastAsia="Times New Roman" w:hAnsi="Times New Roman"/>
          <w:b/>
          <w:bCs/>
          <w:color w:val="1B5E20"/>
          <w:sz w:val="46"/>
          <w:szCs w:val="46"/>
        </w:rPr>
        <w:t xml:space="preserve">MANAJEMEN STRATEGIS</w:t>
      </w:r>
    </w:p>
    <w:p>
      <w:pPr>
        <w:spacing w:after="60" w:before="0"/>
        <w:jc w:val="center"/>
      </w:pPr>
      <w:r>
        <w:rPr>
          <w:rFonts w:ascii="Times New Roman" w:cs="Times New Roman" w:eastAsia="Times New Roman" w:hAnsi="Times New Roman"/>
          <w:color w:val="2E7D32"/>
          <w:sz w:val="24"/>
          <w:szCs w:val="24"/>
        </w:rPr>
        <w:t xml:space="preserve">(Strategic Management in Islamic Business Context)</w:t>
      </w:r>
    </w:p>
    <w:p>
      <w:pPr>
        <w:spacing w:after="240" w:before="40"/>
        <w:jc w:val="center"/>
      </w:pPr>
      <w:r>
        <w:rPr>
          <w:rFonts w:ascii="Times New Roman" w:cs="Times New Roman" w:eastAsia="Times New Roman" w:hAnsi="Times New Roman"/>
          <w:b/>
          <w:bCs/>
          <w:color w:val="B45309"/>
          <w:sz w:val="24"/>
          <w:szCs w:val="24"/>
        </w:rPr>
        <w:t xml:space="preserve">Kode MK: MKI11106 / MKI12106  |  2 SKS  |  Semester VI</w:t>
      </w:r>
    </w:p>
    <w:p>
      <w:pPr>
        <w:spacing w:after="300" w:before="0"/>
      </w:pPr>
      <w: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2800"/>
        <w:gridCol w:w="4800"/>
      </w:tblGrid>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B5E20"/>
                <w:sz w:val="22"/>
                <w:szCs w:val="22"/>
              </w:rPr>
              <w:t xml:space="preserve">Program Studi</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Ekonomi Syariah &amp; Perbankan Syariah</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B5E20"/>
                <w:sz w:val="22"/>
                <w:szCs w:val="22"/>
              </w:rPr>
              <w:t xml:space="preserve">Dosen Pengampu</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Vanya Nafisha Hidayah, S.Pd., M.M.</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B5E20"/>
                <w:sz w:val="22"/>
                <w:szCs w:val="22"/>
              </w:rPr>
              <w:t xml:space="preserve">Jadwal Reguler</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Selasa, 18.30-19.30 WIB / Kamis, 17.00-18.30 WIB</w:t>
            </w:r>
          </w:p>
        </w:tc>
      </w:tr>
      <w:tr>
        <w:tc>
          <w:tcPr>
            <w:tcW w:type="dxa" w:w="2800"/>
            <w:tcBorders>
              <w:top w:val="none"/>
              <w:left w:val="none"/>
              <w:bottom w:val="none"/>
              <w:right w:val="none"/>
            </w:tcBorders>
            <w:tcMar>
              <w:top w:type="dxa" w:w="60"/>
              <w:left w:type="dxa" w:w="0"/>
              <w:bottom w:type="dxa" w:w="60"/>
              <w:right w:type="dxa" w:w="120"/>
            </w:tcMar>
          </w:tcPr>
          <w:p>
            <w:pPr>
              <w:jc w:val="right"/>
            </w:pPr>
            <w:r>
              <w:rPr>
                <w:rFonts w:ascii="Times New Roman" w:cs="Times New Roman" w:eastAsia="Times New Roman" w:hAnsi="Times New Roman"/>
                <w:b/>
                <w:bCs/>
                <w:color w:val="1B5E20"/>
                <w:sz w:val="22"/>
                <w:szCs w:val="22"/>
              </w:rPr>
              <w:t xml:space="preserve">Tahun Akademik</w:t>
            </w:r>
          </w:p>
        </w:tc>
        <w:tc>
          <w:tcPr>
            <w:tcW w:type="dxa" w:w="4800"/>
            <w:tcBorders>
              <w:top w:val="none"/>
              <w:left w:val="none"/>
              <w:bottom w:val="none"/>
              <w:right w:val="none"/>
            </w:tcBorders>
            <w:tcMar>
              <w:top w:type="dxa" w:w="60"/>
              <w:left w:type="dxa" w:w="120"/>
              <w:bottom w:type="dxa" w:w="60"/>
              <w:right w:type="dxa" w:w="0"/>
            </w:tcMar>
          </w:tcPr>
          <w:p>
            <w:r>
              <w:rPr>
                <w:rFonts w:ascii="Times New Roman" w:cs="Times New Roman" w:eastAsia="Times New Roman" w:hAnsi="Times New Roman"/>
                <w:color w:val="000000"/>
                <w:sz w:val="22"/>
                <w:szCs w:val="22"/>
              </w:rPr>
              <w:t xml:space="preserve">: 2025/2026 (Semester Genap)</w:t>
            </w:r>
          </w:p>
        </w:tc>
      </w:tr>
    </w:tbl>
    <w:p>
      <w:pPr>
        <w:spacing w:after="600" w:before="0"/>
      </w:pPr>
      <w:r>
        <w:t xml:space="preserve"/>
      </w:r>
    </w:p>
    <w:p>
      <w:pPr>
        <w:spacing w:after="40" w:before="100"/>
        <w:jc w:val="center"/>
      </w:pPr>
      <w:r>
        <w:rPr>
          <w:rFonts w:ascii="Times New Roman" w:cs="Times New Roman" w:eastAsia="Times New Roman" w:hAnsi="Times New Roman"/>
          <w:b/>
          <w:bCs/>
          <w:color w:val="1B5E20"/>
          <w:sz w:val="28"/>
          <w:szCs w:val="28"/>
        </w:rPr>
        <w:t xml:space="preserve">SEKOLAH TINGGI EKONOMI ISLAM (STEI)</w:t>
      </w:r>
    </w:p>
    <w:p>
      <w:pPr>
        <w:spacing w:after="40" w:before="0"/>
        <w:jc w:val="center"/>
      </w:pPr>
      <w:r>
        <w:rPr>
          <w:rFonts w:ascii="Times New Roman" w:cs="Times New Roman" w:eastAsia="Times New Roman" w:hAnsi="Times New Roman"/>
          <w:b/>
          <w:bCs/>
          <w:color w:val="1B5E20"/>
          <w:sz w:val="34"/>
          <w:szCs w:val="34"/>
        </w:rPr>
        <w:t xml:space="preserve">FITRAH INSANI</w:t>
      </w:r>
    </w:p>
    <w:p>
      <w:pPr>
        <w:spacing w:after="40" w:before="0"/>
        <w:jc w:val="center"/>
      </w:pPr>
      <w:r>
        <w:rPr>
          <w:rFonts w:ascii="Times New Roman" w:cs="Times New Roman" w:eastAsia="Times New Roman" w:hAnsi="Times New Roman"/>
          <w:color w:val="555555"/>
          <w:sz w:val="20"/>
          <w:szCs w:val="20"/>
        </w:rPr>
        <w:t xml:space="preserve">Jl. Raya Gadobangkong No. 91, Kab. Bandung Barat, Jawa Barat</w:t>
      </w:r>
    </w:p>
    <w:p>
      <w:pPr>
        <w:spacing w:after="40" w:before="0"/>
        <w:jc w:val="center"/>
      </w:pPr>
      <w:r>
        <w:rPr>
          <w:rFonts w:ascii="Times New Roman" w:cs="Times New Roman" w:eastAsia="Times New Roman" w:hAnsi="Times New Roman"/>
          <w:b/>
          <w:bCs/>
          <w:color w:val="B45309"/>
          <w:sz w:val="22"/>
          <w:szCs w:val="22"/>
        </w:rPr>
        <w:t xml:space="preserve">Tahun 2026</w:t>
      </w:r>
    </w:p>
    <w:p>
      <w:r>
        <w:br w:type="pag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A. IDENTITAS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00"/>
        <w:gridCol w:w="6200"/>
      </w:tblGrid>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Nama Perguruan Tinggi</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STEI Fitrah Insani</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Program Studi</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Ekonomi Syariah / Perbankan Syariah</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Nama Mata Kuliah</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Manajemen Strategis (Strategic Management in Islamic Business Context)</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Kode Mata Kuliah</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MKI11106 (ES) / MKI12106 (PS)</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Klasifikasi</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Mata Kuliah Keahlian Inti (MKKI) - Wajib Prodi</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Bobot SKS</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 SKS (2 SKS Teori + Praktik Analisis Strategis Terintegrasi)</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Semester</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VI (Enam) - Reguler</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Prasyarat</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Pengantar Manajemen &amp; Bisnis Islam (Smt II); Ekonomi Manajerial (Smt IV); Manajemen Risiko Syariah (Smt VI)</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Mata Kuliah Lanjutan</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Skripsi - khususnya topik strategi bisnis Islam, SWOT, dan analisis kebijakan</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Dosen Pengampu</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Vanya Nafisha Hidayah, S.Pd., M.M.</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Jadwal Perkuliahan</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Selasa, 18.30-19.30 WIB (Reguler) | Kamis, 17.00-18.30 WIB</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Tahun Akademik</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2025/2026 (Semester Genap)</w:t>
            </w:r>
          </w:p>
        </w:tc>
      </w:tr>
      <w:tr>
        <w:tc>
          <w:tcPr>
            <w:tcW w:type="dxa" w:w="2800"/>
            <w:tcBorders>
              <w:top w:val="single" w:color="AAAAAA" w:sz="6"/>
              <w:left w:val="single" w:color="AAAAAA" w:sz="6"/>
              <w:bottom w:val="single" w:color="AAAAAA" w:sz="6"/>
              <w:right w:val="single" w:color="AAAAAA" w:sz="6"/>
            </w:tcBorders>
            <w:shd w:fill="E8F5E9" w:val="clear"/>
            <w:tcMar>
              <w:top w:type="dxa" w:w="80"/>
              <w:left w:type="dxa" w:w="120"/>
              <w:bottom w:type="dxa" w:w="80"/>
              <w:right w:type="dxa" w:w="80"/>
            </w:tcMar>
          </w:tcPr>
          <w:p>
            <w:r>
              <w:rPr>
                <w:rFonts w:ascii="Times New Roman" w:cs="Times New Roman" w:eastAsia="Times New Roman" w:hAnsi="Times New Roman"/>
                <w:b/>
                <w:bCs/>
                <w:color w:val="1B5E20"/>
                <w:sz w:val="22"/>
                <w:szCs w:val="22"/>
              </w:rPr>
              <w:t xml:space="preserve">Dasar Hukum</w:t>
            </w:r>
          </w:p>
        </w:tc>
        <w:tc>
          <w:tcPr>
            <w:tcW w:type="dxa" w:w="200"/>
            <w:tcBorders>
              <w:top w:val="single" w:color="AAAAAA" w:sz="6"/>
              <w:left w:val="single" w:color="AAAAAA" w:sz="6"/>
              <w:bottom w:val="single" w:color="AAAAAA" w:sz="6"/>
              <w:right w:val="single" w:color="AAAAAA" w:sz="6"/>
            </w:tcBorders>
            <w:shd w:fill="E8F5E9" w:val="clear"/>
            <w:tcMar>
              <w:top w:type="dxa" w:w="80"/>
              <w:left w:type="dxa" w:w="40"/>
              <w:bottom w:type="dxa" w:w="80"/>
              <w:right w:type="dxa" w:w="40"/>
            </w:tcMar>
          </w:tcPr>
          <w:p>
            <w:pPr>
              <w:jc w:val="center"/>
            </w:pPr>
            <w:r>
              <w:rPr>
                <w:rFonts w:ascii="Times New Roman" w:cs="Times New Roman" w:eastAsia="Times New Roman" w:hAnsi="Times New Roman"/>
                <w:b/>
                <w:bCs/>
                <w:color w:val="1B5E20"/>
                <w:sz w:val="22"/>
                <w:szCs w:val="22"/>
              </w:rPr>
              <w:t xml:space="preserve">:</w:t>
            </w:r>
          </w:p>
        </w:tc>
        <w:tc>
          <w:tcPr>
            <w:tcW w:type="dxa" w:w="6200"/>
            <w:tcBorders>
              <w:top w:val="single" w:color="AAAAAA" w:sz="6"/>
              <w:left w:val="single" w:color="AAAAAA" w:sz="6"/>
              <w:bottom w:val="single" w:color="AAAAAA" w:sz="6"/>
              <w:right w:val="single" w:color="AAAAAA" w:sz="6"/>
            </w:tcBorders>
            <w:shd w:fill="FFFFFF" w:val="clear"/>
            <w:tcMar>
              <w:top w:type="dxa" w:w="80"/>
              <w:left w:type="dxa" w:w="120"/>
              <w:bottom w:type="dxa" w:w="80"/>
              <w:right w:type="dxa" w:w="80"/>
            </w:tcMar>
          </w:tcPr>
          <w:p>
            <w:r>
              <w:rPr>
                <w:rFonts w:ascii="Times New Roman" w:cs="Times New Roman" w:eastAsia="Times New Roman" w:hAnsi="Times New Roman"/>
                <w:color w:val="000000"/>
                <w:sz w:val="22"/>
                <w:szCs w:val="22"/>
              </w:rPr>
              <w:t xml:space="preserve">Permendikbud No. 3 Tahun 2020 (SN-DIKTI); SK Ditjen Pendis No. 2500/2018; Statuta STEI FI Pasal 16</w:t>
            </w:r>
          </w:p>
        </w:tc>
      </w:tr>
    </w:tbl>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B. DESKRIPSI MATA KULIAH</w:t>
      </w:r>
    </w:p>
    <w:p>
      <w:pPr>
        <w:spacing w:after="80" w:before="60"/>
        <w:jc w:val="both"/>
      </w:pPr>
      <w:r>
        <w:rPr>
          <w:rFonts w:ascii="Times New Roman" w:cs="Times New Roman" w:eastAsia="Times New Roman" w:hAnsi="Times New Roman"/>
          <w:color w:val="000000"/>
          <w:sz w:val="22"/>
          <w:szCs w:val="22"/>
        </w:rPr>
        <w:t xml:space="preserve">Mata kuliah Manajemen Strategis merupakan Mata Kuliah Keahlian Inti (MKKI) berbobot 2 (dua) SKS yang diselenggarakan pada Semester VI. Sebagai mata kuliah integratif pada tahap akhir studi, Manajemen Strategis mengintegrasikan seluruh ilmu yang telah dipelajari mahasiswa - ekonomi, keuangan, pemasaran, operasional, dan manajemen risiko - ke dalam satu kerangka berpikir strategis yang holistik dan berorientasi maqashid al-syariah.</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Mata kuliah ini menggunakan pendekatan Islamic Strategic Management: setiap framework manajemen strategis kontemporer (Porter, Kaplan-Norton, Mintzberg, Kim-Mauborgne) dianalisis kritis dan diperkaya dengan perspektif Islam. PESTLE diubah menjadi PESTLER dengan tambahan dimensi Religious. BSC dikembangkan menjadi BSC Syariah dengan perspektif ke-5 Maqashid. Analisis SWOT dilengkapi dengan dimensi nilai-nilai Islam sebagai sumber kekuatan strategis yang tak tergantikan.</w:t>
      </w:r>
    </w:p>
    <w:p>
      <w:pPr>
        <w:spacing w:after="60" w:before="0"/>
      </w:pPr>
      <w:r>
        <w:t xml:space="preserve"/>
      </w:r>
    </w:p>
    <w:p>
      <w:pPr>
        <w:spacing w:after="80" w:before="60"/>
        <w:jc w:val="both"/>
      </w:pPr>
      <w:r>
        <w:rPr>
          <w:rFonts w:ascii="Times New Roman" w:cs="Times New Roman" w:eastAsia="Times New Roman" w:hAnsi="Times New Roman"/>
          <w:color w:val="000000"/>
          <w:sz w:val="22"/>
          <w:szCs w:val="22"/>
        </w:rPr>
        <w:t xml:space="preserve">Output puncak adalah dokumen Strategic Plan Islam yang dipresentasikan secara profesional - meliputi analisis situasi komprehensif (PESTLER + Five Forces + VRIO + SWOT), perumusan visi-misi berbasis maqashid, strategi kompetitif termasuk Blue Ocean Strategy Islam, dan sistem monitoring BSC Syariah dengan KPI berbasis falah. UAS bersifat Open Book (1 lembar catatan tangan A4).</w:t>
      </w:r>
    </w:p>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C. TOOLS ANALISIS STRATEGIS</w:t>
      </w:r>
    </w:p>
    <w:p>
      <w:pPr>
        <w:spacing w:after="80" w:before="60"/>
        <w:jc w:val="both"/>
      </w:pPr>
      <w:r>
        <w:rPr>
          <w:rFonts w:ascii="Times New Roman" w:cs="Times New Roman" w:eastAsia="Times New Roman" w:hAnsi="Times New Roman"/>
          <w:color w:val="000000"/>
          <w:sz w:val="22"/>
          <w:szCs w:val="22"/>
        </w:rPr>
        <w:t xml:space="preserve">Mata kuliah ini menggunakan 10 tools analisis strategis yang diterapkan secara bertahap dan terintegrasi: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000"/>
      </w:tblGrid>
      <w:tr>
        <w:tc>
          <w:tcPr>
            <w:tcW w:type="dxa" w:w="20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Tool Strategis</w:t>
            </w:r>
          </w:p>
        </w:tc>
        <w:tc>
          <w:tcPr>
            <w:tcW w:type="dxa" w:w="32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Fungsi Utama</w:t>
            </w:r>
          </w:p>
        </w:tc>
        <w:tc>
          <w:tcPr>
            <w:tcW w:type="dxa" w:w="40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2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PESTLER Analysis</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Analisis lingkungan makro + dimensi Religious</w:t>
            </w:r>
          </w:p>
        </w:tc>
        <w:tc>
          <w:tcPr>
            <w:tcW w:type="dxa" w:w="4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3</w:t>
            </w:r>
          </w:p>
        </w:tc>
      </w:tr>
      <w:tr>
        <w:tc>
          <w:tcPr>
            <w:tcW w:type="dxa" w:w="2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Porter Five Forces Islam</w:t>
            </w:r>
          </w:p>
        </w:tc>
        <w:tc>
          <w:tcPr>
            <w:tcW w:type="dxa" w:w="3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Analisis struktur industri + regulasi syariah</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4</w:t>
            </w:r>
          </w:p>
        </w:tc>
      </w:tr>
      <w:tr>
        <w:tc>
          <w:tcPr>
            <w:tcW w:type="dxa" w:w="2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Value Chain Islam</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Pemetaan aktivitas penciptaan nilai berbasis syariah</w:t>
            </w:r>
          </w:p>
        </w:tc>
        <w:tc>
          <w:tcPr>
            <w:tcW w:type="dxa" w:w="4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5</w:t>
            </w:r>
          </w:p>
        </w:tc>
      </w:tr>
      <w:tr>
        <w:tc>
          <w:tcPr>
            <w:tcW w:type="dxa" w:w="2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Kerangka VRIO</w:t>
            </w:r>
          </w:p>
        </w:tc>
        <w:tc>
          <w:tcPr>
            <w:tcW w:type="dxa" w:w="3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Identifikasi sumber keunggulan kompetitif berkelanjutan</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5</w:t>
            </w:r>
          </w:p>
        </w:tc>
      </w:tr>
      <w:tr>
        <w:tc>
          <w:tcPr>
            <w:tcW w:type="dxa" w:w="2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SWOT + TOWS Matrix</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Integrasi analisis internal-eksternal ke strategi</w:t>
            </w:r>
          </w:p>
        </w:tc>
        <w:tc>
          <w:tcPr>
            <w:tcW w:type="dxa" w:w="4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6</w:t>
            </w:r>
          </w:p>
        </w:tc>
      </w:tr>
      <w:tr>
        <w:tc>
          <w:tcPr>
            <w:tcW w:type="dxa" w:w="2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Strategi Generik Porter</w:t>
            </w:r>
          </w:p>
        </w:tc>
        <w:tc>
          <w:tcPr>
            <w:tcW w:type="dxa" w:w="3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Cost leadership, differentiation, focus dalam Islam</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7</w:t>
            </w:r>
          </w:p>
        </w:tc>
      </w:tr>
      <w:tr>
        <w:tc>
          <w:tcPr>
            <w:tcW w:type="dxa" w:w="2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Blue Ocean Strategy Islam</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Menciptakan pasar baru tanpa kompetisi langsung</w:t>
            </w:r>
          </w:p>
        </w:tc>
        <w:tc>
          <w:tcPr>
            <w:tcW w:type="dxa" w:w="4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7</w:t>
            </w:r>
          </w:p>
        </w:tc>
      </w:tr>
      <w:tr>
        <w:tc>
          <w:tcPr>
            <w:tcW w:type="dxa" w:w="2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Ansoff Matrix</w:t>
            </w:r>
          </w:p>
        </w:tc>
        <w:tc>
          <w:tcPr>
            <w:tcW w:type="dxa" w:w="3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Strategi pertumbuhan: penetrasi, pengembangan, diversifikasi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9</w:t>
            </w:r>
          </w:p>
        </w:tc>
      </w:tr>
      <w:tr>
        <w:tc>
          <w:tcPr>
            <w:tcW w:type="dxa" w:w="2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BSC Syariah (5 Perspektif)</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Implementasi dan monitoring strategi berbasis maqashid</w:t>
            </w:r>
          </w:p>
        </w:tc>
        <w:tc>
          <w:tcPr>
            <w:tcW w:type="dxa" w:w="4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11</w:t>
            </w:r>
          </w:p>
        </w:tc>
      </w:tr>
      <w:tr>
        <w:tc>
          <w:tcPr>
            <w:tcW w:type="dxa" w:w="2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McKinsey 7-S + Syariah</w:t>
            </w:r>
          </w:p>
        </w:tc>
        <w:tc>
          <w:tcPr>
            <w:tcW w:type="dxa" w:w="3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Faktor keberhasilan implementasi strategi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Mg. 12</w:t>
            </w:r>
          </w:p>
        </w:tc>
      </w:tr>
    </w:tbl>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D. POSISI DALAM KURIKULUM</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c>
          <w:tcPr>
            <w:tcW w:type="dxa" w:w="30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Aspek</w:t>
            </w:r>
          </w:p>
        </w:tc>
        <w:tc>
          <w:tcPr>
            <w:tcW w:type="dxa" w:w="62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Uraian</w:t>
            </w:r>
          </w:p>
        </w:tc>
      </w:tr>
      <w:tr>
        <w:tc>
          <w:tcPr>
            <w:tcW w:type="dxa" w:w="3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Posisi</w:t>
            </w:r>
          </w:p>
        </w:tc>
        <w:tc>
          <w:tcPr>
            <w:tcW w:type="dxa" w:w="6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Semester VI - MKKI Wajib; mata kuliah integratif menjelang skripsi</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Integratif</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Mengintegrasikan: Ekonomi Manajerial, MKS, Manajemen Risiko, Akuntansi Syariah</w:t>
            </w:r>
          </w:p>
        </w:tc>
      </w:tr>
      <w:tr>
        <w:tc>
          <w:tcPr>
            <w:tcW w:type="dxa" w:w="3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Feed Forward Skripsi</w:t>
            </w:r>
          </w:p>
        </w:tc>
        <w:tc>
          <w:tcPr>
            <w:tcW w:type="dxa" w:w="6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Topik skripsi: analisis strategi BSI, strategic plan BMT, evaluasi BSC syariah, halal industry</w:t>
            </w:r>
          </w:p>
        </w:tc>
      </w:tr>
      <w:tr>
        <w:tc>
          <w:tcPr>
            <w:tcW w:type="dxa" w:w="3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Relevansi Karir</w:t>
            </w:r>
          </w:p>
        </w:tc>
        <w:tc>
          <w:tcPr>
            <w:tcW w:type="dxa" w:w="6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Direktur/manajer LKI; konsultan manajemen syariah; entrepreneur Muslim; analis industri halal</w:t>
            </w:r>
          </w:p>
        </w:tc>
      </w:tr>
      <w:tr>
        <w:tc>
          <w:tcPr>
            <w:tcW w:type="dxa" w:w="3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Studi Kasus Utama</w:t>
            </w:r>
          </w:p>
        </w:tc>
        <w:tc>
          <w:tcPr>
            <w:tcW w:type="dxa" w:w="6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Merger BSI, Dompet Dhuafa, UMKM halal scale-up, SGIE Report 2025/26</w:t>
            </w:r>
          </w:p>
        </w:tc>
      </w:tr>
    </w:tbl>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E. CPL DAN CPMK</w:t>
      </w:r>
    </w:p>
    <w:p>
      <w:pPr>
        <w:spacing w:after="80" w:before="200"/>
      </w:pPr>
      <w:r>
        <w:rPr>
          <w:rFonts w:ascii="Times New Roman" w:cs="Times New Roman" w:eastAsia="Times New Roman" w:hAnsi="Times New Roman"/>
          <w:b/>
          <w:bCs/>
          <w:color w:val="2E7D32"/>
          <w:sz w:val="24"/>
          <w:szCs w:val="24"/>
        </w:rPr>
        <w:t xml:space="preserve">E.1 CPL yang Dibebankan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600"/>
      </w:tblGrid>
      <w:tr>
        <w:tc>
          <w:tcPr>
            <w:tcW w:type="dxa" w:w="12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24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Ranah</w:t>
            </w:r>
          </w:p>
        </w:tc>
        <w:tc>
          <w:tcPr>
            <w:tcW w:type="dxa" w:w="56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S-5</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Sikap</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Menginternalisasi nilai-nilai kepemimpinan Islam dalam pengambilan keputusan strategis: amanah dalam memegang mandat organisasi, syura dalam proses perumusan strategi, adl dalam implementasi, dan istiqamah dalam menghadapi tekanan persaingan; mengutamakan maslahah umat di atas kepentingan sempit perusahaan.</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P-12</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Pengetahuan</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Menguasai konsep, kerangka, dan proses manajemen strategis yang diintegrasikan dengan nilai-nilai Islam: analisis lingkungan (PESTLE Islam, Porter's Five Forces), perumusan strategi (visi-misi berbasis maqashid, SWOT Islam, Ansoff Matrix), implementasi (BSC Syariah), dan evaluasi strategi; serta studi kasus organisasi bisnis Islam kontemporer.</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KU-4</w:t>
            </w:r>
          </w:p>
        </w:tc>
        <w:tc>
          <w:tcPr>
            <w:tcW w:type="dxa" w:w="24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Umum</w:t>
            </w:r>
          </w:p>
        </w:tc>
        <w:tc>
          <w:tcPr>
            <w:tcW w:type="dxa" w:w="5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menganalisis lingkungan bisnis secara sistematis menggunakan alat-alat manajemen strategis, merumuskan strategi bisnis yang kompetitif dan sesuai prinsip syariah, serta mengomunikasikan analisis strategis dalam presentasi bisnis yang meyakinkan.</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KK-9</w:t>
            </w:r>
          </w:p>
        </w:tc>
        <w:tc>
          <w:tcPr>
            <w:tcW w:type="dxa" w:w="24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Keterampilan Khusus</w:t>
            </w:r>
          </w:p>
        </w:tc>
        <w:tc>
          <w:tcPr>
            <w:tcW w:type="dxa" w:w="5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Mampu menyusun rencana strategis (strategic plan) yang komprehensif untuk lembaga keuangan Islam atau bisnis halal, mencakup analisis situasi, perumusan tujuan strategis berbasis maqashid, strategi kompetitif, dan sistem monitoring berbasis Balanced Scorecard Syariah.</w:t>
            </w:r>
          </w:p>
        </w:tc>
      </w:tr>
    </w:tbl>
    <w:p>
      <w:pPr>
        <w:spacing w:after="160" w:before="0"/>
      </w:pPr>
      <w:r>
        <w:t xml:space="preserve"/>
      </w:r>
    </w:p>
    <w:p>
      <w:pPr>
        <w:spacing w:after="80" w:before="200"/>
      </w:pPr>
      <w:r>
        <w:rPr>
          <w:rFonts w:ascii="Times New Roman" w:cs="Times New Roman" w:eastAsia="Times New Roman" w:hAnsi="Times New Roman"/>
          <w:b/>
          <w:bCs/>
          <w:color w:val="2E7D32"/>
          <w:sz w:val="24"/>
          <w:szCs w:val="24"/>
        </w:rPr>
        <w:t xml:space="preserve">E.2 Capaian Pembelajaran Mata Kuliah</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c>
          <w:tcPr>
            <w:tcW w:type="dxa" w:w="12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Kode</w:t>
            </w:r>
          </w:p>
        </w:tc>
        <w:tc>
          <w:tcPr>
            <w:tcW w:type="dxa" w:w="38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Rumusan CPMK</w:t>
            </w:r>
          </w:p>
        </w:tc>
        <w:tc>
          <w:tcPr>
            <w:tcW w:type="dxa" w:w="42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CPL</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CPMK-1</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menjelaskan konsep dasar manajemen strategis Islam dan mengidentifikasi bagaimana nilai-nilai Islam mentransformasi pendekatan konvensional dalam perumusan visi, misi, dan tujuan organisasi.</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S-5, P-12</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CPMK-2</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melakukan analisis lingkungan eksternal (PESTLER, Porter Five Forces) dan internal (Value Chain, VRIO) untuk mengidentifikasi peluang, ancaman, kekuatan, dan kelemahan organisasi bisnis Islam.</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P-12, KU-4</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CPMK-3</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merumuskan strategi bisnis menggunakan SWOT Matrix, Ansoff Matrix, strategi generik Porter, dan Blue Ocean Strategy Islam serta mengevaluasi kesesuaiannya dengan maqashid al-syariah.</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P-12, KU-4, KK-9</w:t>
            </w:r>
          </w:p>
        </w:tc>
      </w:tr>
      <w:tr>
        <w:tc>
          <w:tcPr>
            <w:tcW w:type="dxa" w:w="1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CPMK-4</w:t>
            </w:r>
          </w:p>
        </w:tc>
        <w:tc>
          <w:tcPr>
            <w:tcW w:type="dxa" w:w="3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merancang sistem implementasi strategi menggunakan BSC Syariah, menyusun KPI berbasis maqashid, dan mengevaluasi pelaksanaan strategi menggunakan mekanisme pengendalian strategis.</w:t>
            </w:r>
          </w:p>
        </w:tc>
        <w:tc>
          <w:tcPr>
            <w:tcW w:type="dxa" w:w="42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P-12, KK-9, S-5</w:t>
            </w:r>
          </w:p>
        </w:tc>
      </w:tr>
      <w:tr>
        <w:tc>
          <w:tcPr>
            <w:tcW w:type="dxa" w:w="1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CPMK-5</w:t>
            </w:r>
          </w:p>
        </w:tc>
        <w:tc>
          <w:tcPr>
            <w:tcW w:type="dxa" w:w="3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Mahasiswa mampu menyusun dan mempresentasikan dokumen Rencana Strategis (Strategic Plan) yang komprehensif untuk lembaga keuangan Islam atau bisnis halal.</w:t>
            </w:r>
          </w:p>
        </w:tc>
        <w:tc>
          <w:tcPr>
            <w:tcW w:type="dxa" w:w="42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KK-9, KU-4, S-5</w:t>
            </w:r>
          </w:p>
        </w:tc>
      </w:tr>
    </w:tbl>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F. PETA MATERI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400"/>
      </w:tblGrid>
      <w:tr>
        <w:tc>
          <w:tcPr>
            <w:tcW w:type="dxa" w:w="16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Blok</w:t>
            </w:r>
          </w:p>
        </w:tc>
        <w:tc>
          <w:tcPr>
            <w:tcW w:type="dxa" w:w="32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Tema</w:t>
            </w:r>
          </w:p>
        </w:tc>
        <w:tc>
          <w:tcPr>
            <w:tcW w:type="dxa" w:w="44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Pertemuan</w:t>
            </w:r>
          </w:p>
        </w:tc>
      </w:tr>
      <w:tr>
        <w:tc>
          <w:tcPr>
            <w:tcW w:type="dxa" w:w="1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
Fondasi
(Mg. 1-2)</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Pengantar MS Islam &amp; Visi-Misi Maqashid</w:t>
            </w:r>
          </w:p>
        </w:tc>
        <w:tc>
          <w:tcPr>
            <w:tcW w:type="dxa" w:w="44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 MS Islam vs konvensional
Mg.2: Visi-misi berbasis maqashid</w:t>
            </w:r>
          </w:p>
        </w:tc>
      </w:tr>
      <w:tr>
        <w:tc>
          <w:tcPr>
            <w:tcW w:type="dxa" w:w="16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
Analisis Situasi
(Mg. 3-6)</w:t>
            </w:r>
          </w:p>
        </w:tc>
        <w:tc>
          <w:tcPr>
            <w:tcW w:type="dxa" w:w="32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PESTLER, Five Forces, VRIO &amp; SWOT Islam</w:t>
            </w:r>
          </w:p>
        </w:tc>
        <w:tc>
          <w:tcPr>
            <w:tcW w:type="dxa" w:w="44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Mg.3: PESTLER Analysis
Mg.4: Porter Five Forces Islam
Mg.5: Value Chain &amp; VRIO
Mg.6: SWOT + TOWS Matrix</w:t>
            </w:r>
          </w:p>
        </w:tc>
      </w:tr>
      <w:tr>
        <w:tc>
          <w:tcPr>
            <w:tcW w:type="dxa" w:w="1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III
Perumusan Strategi
(Mg. 7, 9-10)</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Strategi Generik, Ansoff &amp; Strategi Korporat</w:t>
            </w:r>
          </w:p>
        </w:tc>
        <w:tc>
          <w:tcPr>
            <w:tcW w:type="dxa" w:w="44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Mg.7: Strategi generik &amp; Blue Ocean
Mg.9: Ansoff Matrix &amp; inovasi Islam
Mg.10: Strategi korporat merger BSI</w:t>
            </w:r>
          </w:p>
        </w:tc>
      </w:tr>
      <w:tr>
        <w:tc>
          <w:tcPr>
            <w:tcW w:type="dxa" w:w="16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IV
Implementasi &amp; Evaluasi
(Mg. 11-13)</w:t>
            </w:r>
          </w:p>
        </w:tc>
        <w:tc>
          <w:tcPr>
            <w:tcW w:type="dxa" w:w="32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BSC Syariah, Eksekusi &amp; Pengendalian</w:t>
            </w:r>
          </w:p>
        </w:tc>
        <w:tc>
          <w:tcPr>
            <w:tcW w:type="dxa" w:w="44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Mg.11: BSC Syariah + KPI maqashid
Mg.12: Implementasi 7-S Islam
Mg.13: Evaluasi &amp; adaptasi strategi</w:t>
            </w:r>
          </w:p>
        </w:tc>
      </w:tr>
      <w:tr>
        <w:tc>
          <w:tcPr>
            <w:tcW w:type="dxa" w:w="1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BLOK V
Sintesis
(Mg. 14-15)</w:t>
            </w:r>
          </w:p>
        </w:tc>
        <w:tc>
          <w:tcPr>
            <w:tcW w:type="dxa" w:w="32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Workshop Strategic Plan &amp; Presentasi</w:t>
            </w:r>
          </w:p>
        </w:tc>
        <w:tc>
          <w:tcPr>
            <w:tcW w:type="dxa" w:w="44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Mg.14: Workshop Strategic Plan Islam
Mg.15: Presentasi panel</w:t>
            </w:r>
          </w:p>
        </w:tc>
      </w:tr>
    </w:tbl>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G. MATRIKS 16 PERTEMUAN</w:t>
      </w:r>
    </w:p>
    <w:p>
      <w:pPr>
        <w:spacing w:after="80" w:before="60"/>
        <w:jc w:val="both"/>
      </w:pPr>
      <w:r>
        <w:rPr>
          <w:rFonts w:ascii="Times New Roman" w:cs="Times New Roman" w:eastAsia="Times New Roman" w:hAnsi="Times New Roman"/>
          <w:color w:val="000000"/>
          <w:sz w:val="22"/>
          <w:szCs w:val="22"/>
        </w:rPr>
        <w:t xml:space="preserve">2 SKS = 100 menit per pertemuan. Mg.8 = UTS. Mg.14-15 (latar hijau) = Workshop &amp; Presentasi Strategic Plan. Mg.16 = UAS Open Book.</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2500"/>
        <w:gridCol w:w="2600"/>
        <w:gridCol w:w="900"/>
        <w:gridCol w:w="500"/>
        <w:gridCol w:w="1500"/>
      </w:tblGrid>
      <w:tr>
        <w:tc>
          <w:tcPr>
            <w:tcW w:type="dxa" w:w="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Mg</w:t>
            </w:r>
          </w:p>
        </w:tc>
        <w:tc>
          <w:tcPr>
            <w:tcW w:type="dxa" w:w="7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2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Sub-CPMK</w:t>
            </w:r>
          </w:p>
        </w:tc>
        <w:tc>
          <w:tcPr>
            <w:tcW w:type="dxa" w:w="26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Materi</w:t>
            </w:r>
          </w:p>
        </w:tc>
        <w:tc>
          <w:tcPr>
            <w:tcW w:type="dxa" w:w="9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Metode</w:t>
            </w:r>
          </w:p>
        </w:tc>
        <w:tc>
          <w:tcPr>
            <w:tcW w:type="dxa" w:w="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Wkt</w:t>
            </w:r>
          </w:p>
        </w:tc>
        <w:tc>
          <w:tcPr>
            <w:tcW w:type="dxa" w:w="1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Penilaian</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pengertian, proses, dan model manajemen strategis serta mengidentifikasi bagaimana Islam mentransformasi pendekatan strategis.</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Pengantar Manajemen Strategis Islam: Definisi strategi dan manajemen strategis; Model MS: analisis perumusan implementasi evaluasi; MS konvensional vs Islam: perbedaan dalam tujuan dan proses; Islam dan strategi: at-tadabbur, tawakkul, tawazun; Falah sebagai ultimate goal strategis Islam; Stakeholder Islam: lebih dari shareholder; Syura sebagai proses perumusan strategi; Ibn Khaldun tentang kebangkitan dan kejatuhan peradaban.</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Case intro</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Kehadiran &amp; partisipasi</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merumuskan visi, misi, dan tujuan organisasi yang berakar pada nilai-nilai Islam dan maqashid al-syariah.</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Visi, Misi &amp; Tujuan Organisasi Islam: Visi Islami: melihat jauh ke depan dengan perspektif akhirat; Perbedaan visi-misi konvensional vs Islam; Merumuskan visi yang menginspirasi dan berbasis maqashid; Misi: purpose yang transenden; Tujuan strategis Islam: SMART + Maqashid-aligned; Hirarki tujuan: spiritual, sosial, finansial; Studi kasus: visi-misi BSI, Dompet Dhuafa, STEI Fitrah Insani; Latihan merumuskan visi-misi Islam.</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kasus; Workshop visi-misi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Tugas: rumuskan visi-misi organisasi Islam pilihan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melakukan analisis lingkungan eksternal makro menggunakan PESTLER dengan perspektif Islam.</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Lingkungan Eksternal I - PESTLER: PESTLE + Religious dimension = PESTLER; Political: regulasi keuangan syariah OJK, BI, DSN-MUI; Economic: pertumbuhan ekonomi halal, SGIE Report 2025/26; Social: pertumbuhan populasi Muslim, literasi keuangan syariah; Technological: fintech syariah, digital banking Islam; Legal: UU Perbankan Syariah, POJK; Environmental: green finance Islam, wakaf lingkungan; Religious: religiusitas masyarakat dan dampaknya pada permintaan produk halal.</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PESTLER; Analisis SGIE 2025</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PESTLER: LKI Indonesia</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struktur persaingan industri menggunakan Porter Five Forces dan mengidentifikasi posisi kompetitif lembaga keuangan Islam.</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Lingkungan Eksternal II - Porter Five Forces: Lima kekuatan Porter + kekuatan ke-6 regulasi syariah/fatwa; Aplikasi: Five Forces industri perbankan syariah Indonesia; Competitive Intelligence Islami; Strategic Group Mapping bank syariah; Studi kasus: posisi kompetitif BSI vs Bank Muamalat vs BRIS pasca-merger.</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kompetitif; Workshop</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Five Forces: perbankan syariah Indonesia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lingkungan internal menggunakan Value Chain Analysis dan VRIO untuk mengidentifikasi sumber keunggulan kompetitif.</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Internal - Value Chain &amp; VRIO: Value Chain Islam: aktivitas primer dan pendukung berbasis syariah; Resource-Based View (RBV); Kerangka VRIO: Valuable, Rare, Inimitable, Organized; Competitive advantage Islam: amanah, itqan, jaringan komunitas Muslim sebagai keunggulan; Core competency organisasi Islam; Studi kasus: VRIO Dompet Dhuafa atau BMT.</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VRIO; Studi kasus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VRIO analisis: satu LKI pilihan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CPMK-2</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mengintegrasikan analisis eksternal dan internal dalam SWOT Matrix dan merumuskan strategi berbasis TOWS.</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SWOT + TOWS Matrix Islam: Strengths, Weaknesses, Opportunities, Threats; SWOT Islam: dimensi nilai sebagai kekuatan strategis; TOWS Matrix: SO, WO, ST, WT strategies; Prioritisasi isu strategis; Workshop kelompok: SWOT Matrix komprehensif bank syariah atau UMKM halal; Mengintegrasikan PESTLER + Five Forces + VRIO menjadi SWOT.</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SWOT; Kerja kelompok; Presentasi draft</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SWOT + TOWS Matrix: organisasi Islam pilihan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menjelaskan strategi generik Porter dan Blue Ocean Strategy Islam untuk keunggulan kompetitif lembaga keuangan Islam.</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Strategi Generik &amp; Blue Ocean Islam: Strategi generik: cost leadership, differentiation, focus; Cost leadership Islam: efisiensi tanpa mengorbankan etika; Differentiation Islam: kehalalan, kepercayaan, layanan spiritual; Blue Ocean Strategy: menciptakan pasar baru; Contoh Blue Ocean Islam: BMT di desa, takaful mikro; Sustainable competitive advantage berbasis nilai Islam; Studi kasus: strategi diferensiasi Bank Muamalat vs BSI.</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Diskusi strategi; Studi kasus</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strategi generik dan Blue Ocean LKI pilihan</w:t>
            </w:r>
          </w:p>
        </w:tc>
      </w:tr>
      <w:tr>
        <w:tc>
          <w:tcPr>
            <w:tcW w:type="dxa" w:w="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8</w:t>
            </w:r>
          </w:p>
        </w:tc>
        <w:tc>
          <w:tcPr>
            <w:tcW w:type="dxa" w:w="7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CPMK-1,2,3</w:t>
            </w:r>
          </w:p>
        </w:tc>
        <w:tc>
          <w:tcPr>
            <w:tcW w:type="dxa" w:w="2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TENGAH SEMESTER (UTS) - Mg.1-7.</w:t>
            </w:r>
          </w:p>
        </w:tc>
        <w:tc>
          <w:tcPr>
            <w:tcW w:type="dxa" w:w="26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Komprehensif: pengantar MS Islam, visi-misi, PESTLER, Five Forces, Value Chain, VRIO, SWOT-TOWS, strategi generik. Soal analisis kasus + uraian konseptual.</w:t>
            </w:r>
          </w:p>
        </w:tc>
        <w:tc>
          <w:tcPr>
            <w:tcW w:type="dxa" w:w="9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w:t>
            </w:r>
          </w:p>
        </w:tc>
        <w:tc>
          <w:tcPr>
            <w:tcW w:type="dxa" w:w="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UTS: 25%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9</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menerapkan Ansoff Matrix untuk merumuskan strategi pertumbuhan dan menganalisis inovasi strategis dalam konteks bisnis Islam.</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Strategi Pertumbuhan &amp; Inovasi Islam: Ansoff Matrix: penetrasi pasar, pengembangan pasar, pengembangan produk, diversifikasi; Penerapan Ansoff pada LKI; Inovasi produk syariah: wakaf produktif, sukuk ritel, takaful digital, fintech Islam; Islamic Social Business Model; CSR Islam: zakat korporat, wakaf, qardh hasan; Studi kasus: strategi pertumbuhan BSI 2024-2028.</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Analisis Ansoff BSI; Workshop</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Strategi pertumbuhan Ansoff: satu LKI pilihan</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CPMK-3</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strategi korporat, bisnis, dan fungsional serta mengevaluasi strategi bersaing dalam industri halal global.</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Strategi Korporat, Bisnis &amp; Fungsional: Hierarki strategi; Strategi korporat: integrasi, merger, akuisisi; Merger BSI: analisis strategis sebelum dan sesudah; Strategi bisnis dan fungsional Islam; Aliansi strategis Islam: ta'awun dalam bisnis; Global Islamic economy strategy: SGIE, OIC, hub halal Indonesia.</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Studi kasus merger BSI; Diskusi</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strategi korporat merger BSI (5%)</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11</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merancang Balanced Scorecard Syariah dan menyusun KPI berbasis maqashid.</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Implementasi Strategi I - BSC Syariah &amp; KPI: Balanced Scorecard (BSC): 4 perspektif Kaplan-Norton; BSC Syariah: perspektif ke-5 Maqashid/Spiritual; 5 perspektif: Keuangan/Falah Finansial, Pelanggan/Maslahah, Proses Internal/Itqan, Pembelajaran/Tasqif, Maqashid &amp; Syariah Compliance; Strategy Map Islami; KPI berbasis maqashid: zakat, porsi pembiayaan produktif, kepuasan nasabah, kepatuhan syariah.</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Workshop BSC Syariah; Latihan KPI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Merancang BSC Syariah + KPI maqashid satu LKI (5%)</w:t>
            </w:r>
          </w:p>
        </w:tc>
      </w:tr>
      <w:tr>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12</w:t>
            </w:r>
          </w:p>
        </w:tc>
        <w:tc>
          <w:tcPr>
            <w:tcW w:type="dxa" w:w="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w:t>
            </w:r>
          </w:p>
        </w:tc>
        <w:tc>
          <w:tcPr>
            <w:tcW w:type="dxa" w:w="2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menganalisis faktor kritis implementasi strategi dan mengevaluasi sistem pengendalian strategis.</w:t>
            </w:r>
          </w:p>
        </w:tc>
        <w:tc>
          <w:tcPr>
            <w:tcW w:type="dxa" w:w="2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Implementasi Strategi II - Eksekusi &amp; Pengendalian: McKinsey 7-S + Syariah (ke-8); Budaya organisasi Islam sebagai enabler; Kepemimpinan transformasional Islam: sifat kepemimpinan Rasulullah; Sistem pengendalian strategis; Strategic review berkala; Adaptive strategy; Studi kasus: mengapa strategi bank syariah gagal implementasi?</w:t>
            </w:r>
          </w:p>
        </w:tc>
        <w:tc>
          <w:tcPr>
            <w:tcW w:type="dxa" w:w="9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Ceramah; Studi kasus; Diskusi kelompok</w:t>
            </w:r>
          </w:p>
        </w:tc>
        <w:tc>
          <w:tcPr>
            <w:tcW w:type="dxa" w:w="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Analisis: faktor kegagalan implementasi strategi LKI</w:t>
            </w:r>
          </w:p>
        </w:tc>
      </w:tr>
      <w:tr>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13</w:t>
            </w:r>
          </w:p>
        </w:tc>
        <w:tc>
          <w:tcPr>
            <w:tcW w:type="dxa" w:w="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CPMK-4,5</w:t>
            </w:r>
          </w:p>
        </w:tc>
        <w:tc>
          <w:tcPr>
            <w:tcW w:type="dxa" w:w="2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mengevaluasi strategi yang berjalan dan merumuskan rekomendasi penyesuaian berbasis analisis kinerja.</w:t>
            </w:r>
          </w:p>
        </w:tc>
        <w:tc>
          <w:tcPr>
            <w:tcW w:type="dxa" w:w="2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Evaluasi &amp; Penyesuaian Strategi: Proses evaluasi strategi; Benchmarking strategis; KPI review; Strategic agility di lingkungan VUCA; Perubahan strategi: kapan harus pivot?; Disruptive innovation dalam perbankan syariah; Workshop: evaluasi strategi dan rekomendasi penyesuaian satu LKI.</w:t>
            </w:r>
          </w:p>
        </w:tc>
        <w:tc>
          <w:tcPr>
            <w:tcW w:type="dxa" w:w="9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evaluasi strategis; Analisis KPI</w:t>
            </w:r>
          </w:p>
        </w:tc>
        <w:tc>
          <w:tcPr>
            <w:tcW w:type="dxa" w:w="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Evaluasi &amp; rekomendasi strategi satu LKI berbasis data</w:t>
            </w:r>
          </w:p>
        </w:tc>
      </w:tr>
      <w:tr>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14</w:t>
            </w:r>
          </w:p>
        </w:tc>
        <w:tc>
          <w:tcPr>
            <w:tcW w:type="dxa" w:w="7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CPMK-5</w:t>
            </w:r>
          </w:p>
        </w:tc>
        <w:tc>
          <w:tcPr>
            <w:tcW w:type="dxa" w:w="2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menyusun dokumen Rencana Strategis komprehensif untuk lembaga keuangan Islam.</w:t>
            </w:r>
          </w:p>
        </w:tc>
        <w:tc>
          <w:tcPr>
            <w:tcW w:type="dxa" w:w="2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Workshop Menyusun Strategic Plan Islam: Komponen: (1) Ringkasan Eksekutif, (2) Visi-Misi-Nilai, (3) Analisis Situasi (PESTLER+Five Forces+VRIO+SWOT), (4) Tujuan Strategis, (5) Strategi &amp; Inisiatif, (6) BSC Syariah &amp; KPI, (7) Rencana Implementasi, (8) Monitoring &amp; Evaluasi; Workshop kelompok: menyusun draft strategic plan; Coaching dosen.</w:t>
            </w:r>
          </w:p>
        </w:tc>
        <w:tc>
          <w:tcPr>
            <w:tcW w:type="dxa" w:w="9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Workshop kelompok; Coaching; Review</w:t>
            </w:r>
          </w:p>
        </w:tc>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Draft Strategic Plan Islam kelompok</w:t>
            </w:r>
          </w:p>
        </w:tc>
      </w:tr>
      <w:tr>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c>
          <w:tcPr>
            <w:tcW w:type="dxa" w:w="7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Mahasiswa mampu mempresentasikan Rencana Strategis bisnis Islam komprehensif di hadapan panel evaluator.</w:t>
            </w:r>
          </w:p>
        </w:tc>
        <w:tc>
          <w:tcPr>
            <w:tcW w:type="dxa" w:w="2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Strategic Plan &amp; Review UAS: Setiap kelompok (3-4 mhs) mempresentasikan Strategic Plan LKI atau bisnis halal pilihan (10 mnt + 5 mnt QA): analisis situasi, visi-misi-maqashid, strategi kompetitif, BSC Syariah, KPI, rencana implementasi. Panel: dosen. Peer assessment. Review materi menjelang UAS.</w:t>
            </w:r>
          </w:p>
        </w:tc>
        <w:tc>
          <w:tcPr>
            <w:tcW w:type="dxa" w:w="9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Presentasi panel; Peer review; Review UAS</w:t>
            </w:r>
          </w:p>
        </w:tc>
        <w:tc>
          <w:tcPr>
            <w:tcW w:type="dxa" w:w="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Presentasi Strategic Plan Islam (10%)</w:t>
            </w:r>
          </w:p>
        </w:tc>
      </w:tr>
      <w:tr>
        <w:tc>
          <w:tcPr>
            <w:tcW w:type="dxa" w:w="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16</w:t>
            </w:r>
          </w:p>
        </w:tc>
        <w:tc>
          <w:tcPr>
            <w:tcW w:type="dxa" w:w="7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18"/>
                <w:szCs w:val="18"/>
              </w:rPr>
              <w:t xml:space="preserve">CPMK-1 s.d. 5</w:t>
            </w:r>
          </w:p>
        </w:tc>
        <w:tc>
          <w:tcPr>
            <w:tcW w:type="dxa" w:w="2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UJIAN AKHIR SEMESTER (UAS) - komprehensif.</w:t>
            </w:r>
          </w:p>
        </w:tc>
        <w:tc>
          <w:tcPr>
            <w:tcW w:type="dxa" w:w="26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Seluruh materi: MS Islam, visi-misi, PESTLER, Five Forces, VRIO, SWOT, strategi generik, Ansoff, merger BSI, BSC Syariah, KPI maqashid, implementasi, evaluasi. UAS bersifat OPEN BOOK (1 lembar catatan tangan A4).</w:t>
            </w:r>
          </w:p>
        </w:tc>
        <w:tc>
          <w:tcPr>
            <w:tcW w:type="dxa" w:w="9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6"/>
                <w:szCs w:val="16"/>
              </w:rPr>
              <w:t xml:space="preserve">Ujian tulis: analisis kasus strategis</w:t>
            </w:r>
          </w:p>
        </w:tc>
        <w:tc>
          <w:tcPr>
            <w:tcW w:type="dxa" w:w="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100</w:t>
            </w:r>
          </w:p>
        </w:tc>
        <w:tc>
          <w:tcPr>
            <w:tcW w:type="dxa" w:w="1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18"/>
                <w:szCs w:val="18"/>
              </w:rPr>
              <w:t xml:space="preserve">UAS: 25%</w:t>
            </w:r>
          </w:p>
        </w:tc>
      </w:tr>
    </w:tbl>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H. SISTEM EVALUASI</w:t>
      </w:r>
    </w:p>
    <w:p>
      <w:pPr>
        <w:spacing w:after="80" w:before="200"/>
      </w:pPr>
      <w:r>
        <w:rPr>
          <w:rFonts w:ascii="Times New Roman" w:cs="Times New Roman" w:eastAsia="Times New Roman" w:hAnsi="Times New Roman"/>
          <w:b/>
          <w:bCs/>
          <w:color w:val="2E7D32"/>
          <w:sz w:val="24"/>
          <w:szCs w:val="24"/>
        </w:rPr>
        <w:t xml:space="preserve">H.1 Komponen Penilaian</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1800"/>
        <w:gridCol w:w="1600"/>
      </w:tblGrid>
      <w:tr>
        <w:tc>
          <w:tcPr>
            <w:tcW w:type="dxa" w:w="18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Komponen</w:t>
            </w:r>
          </w:p>
        </w:tc>
        <w:tc>
          <w:tcPr>
            <w:tcW w:type="dxa" w:w="40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Deskripsi</w:t>
            </w:r>
          </w:p>
        </w:tc>
        <w:tc>
          <w:tcPr>
            <w:tcW w:type="dxa" w:w="18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CPMK</w:t>
            </w:r>
          </w:p>
        </w:tc>
        <w:tc>
          <w:tcPr>
            <w:tcW w:type="dxa" w:w="16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Bobot</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Kehadiran &amp; Partisipasi</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Presensi min. 75%. Aktif dalam diskusi, workshop analisis, studi kasus, dan presentasi strategis.</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Tugas Terstruktur (5 tugas)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(1) Visi-misi organisasi Islam; (2) Five Forces perbankan syariah; (3) VRIO satu LKI; (4) SWOT+TOWS; (5) BSC Syariah + KPI maqashid.</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1,2,3,4</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Strategic Plan (Kelompok)</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Dokumen dan presentasi Strategic Plan Islam komprehensif Mg.15: analisis situasi, strategi, BSC, implementasi. 10 mnt + QA.</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15%</w:t>
            </w:r>
          </w:p>
        </w:tc>
      </w:tr>
      <w:tr>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UTS</w:t>
            </w:r>
          </w:p>
        </w:tc>
        <w:tc>
          <w:tcPr>
            <w:tcW w:type="dxa" w:w="40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90 mnt: analisis kasus + uraian konseptual. Materi Mg.1-7.</w:t>
            </w:r>
          </w:p>
        </w:tc>
        <w:tc>
          <w:tcPr>
            <w:tcW w:type="dxa" w:w="18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1,2,3</w:t>
            </w:r>
          </w:p>
        </w:tc>
        <w:tc>
          <w:tcPr>
            <w:tcW w:type="dxa" w:w="16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UAS</w:t>
            </w:r>
          </w:p>
        </w:tc>
        <w:tc>
          <w:tcPr>
            <w:tcW w:type="dxa" w:w="40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Ujian tulis OPEN BOOK (1 lembar catatan tangan A4): analisis kasus strategis komprehensif.</w:t>
            </w:r>
          </w:p>
        </w:tc>
        <w:tc>
          <w:tcPr>
            <w:tcW w:type="dxa" w:w="18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CPMK 1-5</w:t>
            </w:r>
          </w:p>
        </w:tc>
        <w:tc>
          <w:tcPr>
            <w:tcW w:type="dxa" w:w="16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25%</w:t>
            </w:r>
          </w:p>
        </w:tc>
      </w:tr>
      <w:tr>
        <w:tc>
          <w:tcPr>
            <w:tcW w:type="dxa" w:w="18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bCs/>
                <w:color w:val="000000"/>
                <w:sz w:val="20"/>
                <w:szCs w:val="20"/>
              </w:rPr>
              <w:t xml:space="preserve">TOTAL</w:t>
            </w:r>
          </w:p>
        </w:tc>
        <w:tc>
          <w:tcPr>
            <w:tcW w:type="dxa" w:w="40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
            </w:r>
          </w:p>
        </w:tc>
        <w:tc>
          <w:tcPr>
            <w:tcW w:type="dxa" w:w="18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
            </w:r>
          </w:p>
        </w:tc>
        <w:tc>
          <w:tcPr>
            <w:tcW w:type="dxa" w:w="16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100%</w:t>
            </w:r>
          </w:p>
        </w:tc>
      </w:tr>
    </w:tbl>
    <w:p>
      <w:pPr>
        <w:spacing w:after="160" w:before="0"/>
      </w:pPr>
      <w:r>
        <w:t xml:space="preserve"/>
      </w:r>
    </w:p>
    <w:p>
      <w:pPr>
        <w:spacing w:after="80" w:before="200"/>
      </w:pPr>
      <w:r>
        <w:rPr>
          <w:rFonts w:ascii="Times New Roman" w:cs="Times New Roman" w:eastAsia="Times New Roman" w:hAnsi="Times New Roman"/>
          <w:b/>
          <w:bCs/>
          <w:color w:val="2E7D32"/>
          <w:sz w:val="24"/>
          <w:szCs w:val="24"/>
        </w:rPr>
        <w:t xml:space="preserve">H.2 Konversi Nilai</w:t>
      </w:r>
    </w:p>
    <w:p>
      <w:pPr>
        <w:spacing w:after="8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tblGrid>
      <w:tr>
        <w:tc>
          <w:tcPr>
            <w:tcW w:type="dxa" w:w="1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Angka</w:t>
            </w:r>
          </w:p>
        </w:tc>
        <w:tc>
          <w:tcPr>
            <w:tcW w:type="dxa" w:w="1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Huruf</w:t>
            </w:r>
          </w:p>
        </w:tc>
        <w:tc>
          <w:tcPr>
            <w:tcW w:type="dxa" w:w="1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Mutu</w:t>
            </w:r>
          </w:p>
        </w:tc>
        <w:tc>
          <w:tcPr>
            <w:tcW w:type="dxa" w:w="1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Keterangan</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85-100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A</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Sangat Memuaskan</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80-84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A-</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3,7</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Sangat Memuaskan</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75-79</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3,3</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Memuaskan</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70-74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3,0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Memuaskan</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65-69</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B-</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2,7</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Cukup Memuaskan</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60-64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C+</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2,3</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Cukup</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55-59</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C</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2,0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Cukup</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45-54</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D</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1,0</w:t>
            </w:r>
          </w:p>
        </w:tc>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Kurang</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0-44</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E</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val="false"/>
                <w:bCs w:val="false"/>
                <w:color w:val="000000"/>
                <w:sz w:val="20"/>
                <w:szCs w:val="20"/>
              </w:rPr>
              <w:t xml:space="preserve">0,0</w:t>
            </w:r>
          </w:p>
        </w:tc>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Tidak Lulus</w:t>
            </w:r>
          </w:p>
        </w:tc>
      </w:tr>
    </w:tbl>
    <w:p>
      <w:pPr>
        <w:spacing w:after="160" w:before="0"/>
      </w:pPr>
      <w:r>
        <w:t xml:space="preserve"/>
      </w:r>
    </w:p>
    <w:p>
      <w:pPr>
        <w:spacing w:after="80" w:before="200"/>
      </w:pPr>
      <w:r>
        <w:rPr>
          <w:rFonts w:ascii="Times New Roman" w:cs="Times New Roman" w:eastAsia="Times New Roman" w:hAnsi="Times New Roman"/>
          <w:b/>
          <w:bCs/>
          <w:color w:val="2E7D32"/>
          <w:sz w:val="24"/>
          <w:szCs w:val="24"/>
        </w:rPr>
        <w:t xml:space="preserve">H.3 Ketentuan UAS Open Book</w:t>
      </w:r>
    </w:p>
    <w:p>
      <w:pPr>
        <w:spacing w:after="80" w:before="60"/>
        <w:jc w:val="both"/>
      </w:pPr>
      <w:r>
        <w:rPr>
          <w:rFonts w:ascii="Times New Roman" w:cs="Times New Roman" w:eastAsia="Times New Roman" w:hAnsi="Times New Roman"/>
          <w:color w:val="000000"/>
          <w:sz w:val="22"/>
          <w:szCs w:val="22"/>
        </w:rPr>
        <w:t xml:space="preserve">UAS bersifat OPEN BOOK terbatas: mahasiswa boleh membawa 1 (satu) lembar kertas A4 catatan tangan (boleh dua sisi). Tidak diperkenankan membawa buku, modul, atau catatan ketikan. Yang diuji adalah kemampuan menganalisis kasus strategis secara kritis - bukan hafalan framework.</w:t>
      </w:r>
    </w:p>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I. REFERENSI</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7700"/>
      </w:tblGrid>
      <w:tr>
        <w:tc>
          <w:tcPr>
            <w:tcW w:type="dxa" w:w="15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Jenis</w:t>
            </w:r>
          </w:p>
        </w:tc>
        <w:tc>
          <w:tcPr>
            <w:tcW w:type="dxa" w:w="7700"/>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Referensi (APA 7th Edition)</w:t>
            </w:r>
          </w:p>
        </w:tc>
      </w:tr>
      <w:tr>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David, F. R. &amp; David, F. R. (2017). Strategic Management: A Competitive Advantage Approach, Concepts and Cases (16th ed.). Pearson Education.</w:t>
            </w:r>
          </w:p>
        </w:tc>
      </w:tr>
      <w:tr>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Wheelen, T. L., Hunger, J. D., Hoffman, A. N., &amp; Bamford, C. E. (2018). Strategic Management and Business Policy (15th ed.). Pearson.</w:t>
            </w:r>
          </w:p>
        </w:tc>
      </w:tr>
      <w:tr>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Porter, M. E. (2008). The Five Competitive Forces That Shape Strategy. Harvard Business Review, 86(1), 78-93.</w:t>
            </w:r>
          </w:p>
        </w:tc>
      </w:tr>
      <w:tr>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Kaplan, R. S. &amp; Norton, D. P. (1996). The Balanced Scorecard: Translating Strategy into Action. Harvard Business School Press.</w:t>
            </w:r>
          </w:p>
        </w:tc>
      </w:tr>
      <w:tr>
        <w:tc>
          <w:tcPr>
            <w:tcW w:type="dxa" w:w="1500"/>
            <w:gridSpan w:val="1"/>
            <w:tcBorders>
              <w:top w:val="single" w:color="AAAAAA" w:sz="6"/>
              <w:left w:val="single" w:color="AAAAAA" w:sz="6"/>
              <w:bottom w:val="single" w:color="AAAAAA" w:sz="6"/>
              <w:right w:val="single" w:color="AAAAAA" w:sz="6"/>
            </w:tcBorders>
            <w:shd w:fill="E8F5E9"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Wajib</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Chapra, M. U. (2001). The Future of Economics: An Islamic Perspective. The Islamic Foundation.</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Kim, W. C. &amp; Mauborgne, R. (2015). Blue Ocean Strategy (Expanded Edition). Harvard Business Review Press.</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Pendukung</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Mintzberg, H., Ahlstrand, B., &amp; Lampel, J. (2009). Strategy Safari (2nd ed.). FT Press.</w:t>
            </w:r>
          </w:p>
        </w:tc>
      </w:tr>
      <w:tr>
        <w:tc>
          <w:tcPr>
            <w:tcW w:type="dxa" w:w="1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Kasus</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Bank Syariah Indonesia. (2024). Annual Report 2023. BSI.</w:t>
            </w:r>
          </w:p>
        </w:tc>
      </w:tr>
      <w:tr>
        <w:tc>
          <w:tcPr>
            <w:tcW w:type="dxa" w:w="1500"/>
            <w:gridSpan w:val="1"/>
            <w:tcBorders>
              <w:top w:val="single" w:color="AAAAAA" w:sz="6"/>
              <w:left w:val="single" w:color="AAAAAA" w:sz="6"/>
              <w:bottom w:val="single" w:color="AAAAAA" w:sz="6"/>
              <w:right w:val="single" w:color="AAAAAA" w:sz="6"/>
            </w:tcBorders>
            <w:shd w:fill="FEF3C7"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Kasus</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DinarStandard. (2025). State of the Global Islamic Economy (SGIE) Report 2025/26.</w:t>
            </w:r>
          </w:p>
        </w:tc>
      </w:tr>
      <w:tr>
        <w:tc>
          <w:tcPr>
            <w:tcW w:type="dxa" w:w="15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5F5F5"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Journal of Islamic Marketing. Emerald Publishing. Scopus Indexed.</w:t>
            </w:r>
          </w:p>
        </w:tc>
      </w:tr>
      <w:tr>
        <w:tc>
          <w:tcPr>
            <w:tcW w:type="dxa" w:w="15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000000"/>
                <w:sz w:val="20"/>
                <w:szCs w:val="20"/>
              </w:rPr>
              <w:t xml:space="preserve">Jurnal</w:t>
            </w:r>
          </w:p>
        </w:tc>
        <w:tc>
          <w:tcPr>
            <w:tcW w:type="dxa" w:w="7700"/>
            <w:gridSpan w:val="1"/>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vAlign w:val="center"/>
          </w:tcPr>
          <w:p>
            <w:pPr>
              <w:spacing w:after="40" w:before="40"/>
              <w:jc w:val="left"/>
            </w:pPr>
            <w:r>
              <w:rPr>
                <w:rFonts w:ascii="Times New Roman" w:cs="Times New Roman" w:eastAsia="Times New Roman" w:hAnsi="Times New Roman"/>
                <w:b w:val="false"/>
                <w:bCs w:val="false"/>
                <w:color w:val="000000"/>
                <w:sz w:val="20"/>
                <w:szCs w:val="20"/>
              </w:rPr>
              <w:t xml:space="preserve">Jurnal Manajemen dan Bisnis Islam (JMBI). Sinta 3.</w:t>
            </w:r>
          </w:p>
        </w:tc>
      </w:tr>
    </w:tbl>
    <w:p>
      <w:pPr>
        <w:spacing w:after="200" w:before="0"/>
      </w:pPr>
      <w:r>
        <w:t xml:space="preserve"/>
      </w:r>
    </w:p>
    <w:p>
      <w:pPr>
        <w:pBdr>
          <w:bottom w:val="single" w:color="1B5E20" w:sz="8" w:space="4"/>
        </w:pBdr>
        <w:spacing w:after="120" w:before="300"/>
      </w:pPr>
      <w:r>
        <w:rPr>
          <w:rFonts w:ascii="Times New Roman" w:cs="Times New Roman" w:eastAsia="Times New Roman" w:hAnsi="Times New Roman"/>
          <w:b/>
          <w:bCs/>
          <w:caps/>
          <w:color w:val="1B5E20"/>
          <w:sz w:val="28"/>
          <w:szCs w:val="28"/>
        </w:rPr>
        <w:t xml:space="preserve">J. LEMBAR PENGESAHAN</w:t>
      </w:r>
    </w:p>
    <w:p>
      <w:pPr>
        <w:spacing w:after="80" w:before="0"/>
      </w:pPr>
      <w:r>
        <w:t xml:space="preserve"/>
      </w:r>
    </w:p>
    <w:p>
      <w:pPr>
        <w:spacing w:after="80" w:before="60"/>
        <w:jc w:val="both"/>
      </w:pPr>
      <w:r>
        <w:rPr>
          <w:rFonts w:ascii="Times New Roman" w:cs="Times New Roman" w:eastAsia="Times New Roman" w:hAnsi="Times New Roman"/>
          <w:color w:val="000000"/>
          <w:sz w:val="22"/>
          <w:szCs w:val="22"/>
        </w:rPr>
        <w:t xml:space="preserve">RPS ini disahkan untuk diberlakukan pada Semester VI Tahun Akademik 2025/2026 di STEI Fitrah Insani.</w:t>
      </w:r>
    </w:p>
    <w:p>
      <w:pPr>
        <w:spacing w:after="100" w:before="80"/>
        <w:jc w:val="right"/>
      </w:pPr>
      <w:r>
        <w:rPr>
          <w:rFonts w:ascii="Times New Roman" w:cs="Times New Roman" w:eastAsia="Times New Roman" w:hAnsi="Times New Roman"/>
          <w:sz w:val="22"/>
          <w:szCs w:val="22"/>
        </w:rPr>
        <w:t xml:space="preserve">Bandung Barat, Januari 2026</w:t>
      </w:r>
    </w:p>
    <w:p>
      <w:pPr>
        <w:spacing w:after="8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66"/>
        <w:gridCol w:w="3067"/>
        <w:gridCol w:w="3067"/>
      </w:tblGrid>
      <w:tr>
        <w:tc>
          <w:tcPr>
            <w:tcW w:type="dxa" w:w="3066"/>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Disusun oleh</w:t>
            </w:r>
          </w:p>
        </w:tc>
        <w:tc>
          <w:tcPr>
            <w:tcW w:type="dxa" w:w="3067"/>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Diperiksa oleh</w:t>
            </w:r>
          </w:p>
        </w:tc>
        <w:tc>
          <w:tcPr>
            <w:tcW w:type="dxa" w:w="3067"/>
            <w:gridSpan w:val="1"/>
            <w:tcBorders>
              <w:top w:val="single" w:color="AAAAAA" w:sz="6"/>
              <w:left w:val="single" w:color="AAAAAA" w:sz="6"/>
              <w:bottom w:val="single" w:color="AAAAAA" w:sz="6"/>
              <w:right w:val="single" w:color="AAAAAA" w:sz="6"/>
            </w:tcBorders>
            <w:shd w:fill="1B5E20" w:val="clear"/>
            <w:tcMar>
              <w:top w:type="dxa" w:w="80"/>
              <w:left w:type="dxa" w:w="120"/>
              <w:bottom w:type="dxa" w:w="80"/>
              <w:right w:type="dxa" w:w="120"/>
            </w:tcMar>
            <w:vAlign w:val="center"/>
          </w:tcPr>
          <w:p>
            <w:pPr>
              <w:spacing w:after="40" w:before="40"/>
              <w:jc w:val="center"/>
            </w:pPr>
            <w:r>
              <w:rPr>
                <w:rFonts w:ascii="Times New Roman" w:cs="Times New Roman" w:eastAsia="Times New Roman" w:hAnsi="Times New Roman"/>
                <w:b/>
                <w:bCs/>
                <w:color w:val="FFFFFF"/>
                <w:sz w:val="20"/>
                <w:szCs w:val="20"/>
              </w:rPr>
              <w:t xml:space="preserve">Disahkan oleh</w:t>
            </w:r>
          </w:p>
        </w:tc>
      </w:tr>
      <w:tr>
        <w:tc>
          <w:tcPr>
            <w:tcW w:type="dxa" w:w="3066"/>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Dosen Pengampu</w:t>
            </w:r>
          </w:p>
          <w:p>
            <w:pPr>
              <w:spacing w:after="400" w:before="0"/>
            </w:pPr>
            <w:r>
              <w:rPr>
                <w:sz w:val="22"/>
                <w:szCs w:val="22"/>
              </w:rPr>
              <w:t xml:space="preserve"/>
            </w:r>
          </w:p>
          <w:p>
            <w:pPr>
              <w:spacing w:after="40" w:before="0"/>
            </w:pPr>
            <w:r>
              <w:rPr>
                <w:rFonts w:ascii="Times New Roman" w:cs="Times New Roman" w:eastAsia="Times New Roman" w:hAnsi="Times New Roman"/>
                <w:b/>
                <w:bCs/>
                <w:color w:val="1B5E20"/>
                <w:sz w:val="22"/>
                <w:szCs w:val="22"/>
              </w:rPr>
              <w:t xml:space="preserve">Vanya Nafisha Hidayah, S.Pd., M.M.</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Ketua Program Studi</w:t>
            </w:r>
          </w:p>
          <w:p>
            <w:pPr>
              <w:spacing w:after="400" w:before="0"/>
            </w:pPr>
            <w:r>
              <w:rPr>
                <w:sz w:val="22"/>
                <w:szCs w:val="22"/>
              </w:rPr>
              <w:t xml:space="preserve"/>
            </w:r>
          </w:p>
          <w:p>
            <w:pPr>
              <w:spacing w:after="40" w:before="0"/>
            </w:pPr>
            <w:r>
              <w:rPr>
                <w:rFonts w:ascii="Times New Roman" w:cs="Times New Roman" w:eastAsia="Times New Roman" w:hAnsi="Times New Roman"/>
                <w:b/>
                <w:bCs/>
                <w:color w:val="1B5E20"/>
                <w:sz w:val="22"/>
                <w:szCs w:val="22"/>
              </w:rPr>
              <w:t xml:space="preserve">Nila Nopianti, S.E.Sy., M.E.</w:t>
            </w:r>
          </w:p>
          <w:p>
            <w:r>
              <w:rPr>
                <w:rFonts w:ascii="Times New Roman" w:cs="Times New Roman" w:eastAsia="Times New Roman" w:hAnsi="Times New Roman"/>
                <w:sz w:val="20"/>
                <w:szCs w:val="20"/>
              </w:rPr>
              <w:t xml:space="preserve">NIDN: _______________</w:t>
            </w:r>
          </w:p>
        </w:tc>
        <w:tc>
          <w:tcPr>
            <w:tcW w:type="dxa" w:w="3067"/>
            <w:tcBorders>
              <w:top w:val="single" w:color="AAAAAA" w:sz="6"/>
              <w:left w:val="single" w:color="AAAAAA" w:sz="6"/>
              <w:bottom w:val="single" w:color="AAAAAA" w:sz="6"/>
              <w:right w:val="single" w:color="AAAAAA" w:sz="6"/>
            </w:tcBorders>
            <w:shd w:fill="FFFFFF" w:val="clear"/>
            <w:tcMar>
              <w:top w:type="dxa" w:w="80"/>
              <w:left w:type="dxa" w:w="120"/>
              <w:bottom w:type="dxa" w:w="80"/>
              <w:right w:type="dxa" w:w="120"/>
            </w:tcMar>
          </w:tcPr>
          <w:p>
            <w:pPr>
              <w:spacing w:after="40" w:before="40"/>
            </w:pPr>
            <w:r>
              <w:rPr>
                <w:rFonts w:ascii="Times New Roman" w:cs="Times New Roman" w:eastAsia="Times New Roman" w:hAnsi="Times New Roman"/>
                <w:sz w:val="22"/>
                <w:szCs w:val="22"/>
              </w:rPr>
              <w:t xml:space="preserve">Wakil Ketua I Bidang Akademik</w:t>
            </w:r>
          </w:p>
          <w:p>
            <w:pPr>
              <w:spacing w:after="400" w:before="0"/>
            </w:pPr>
            <w:r>
              <w:rPr>
                <w:sz w:val="22"/>
                <w:szCs w:val="22"/>
              </w:rPr>
              <w:t xml:space="preserve"/>
            </w:r>
          </w:p>
          <w:p>
            <w:pPr>
              <w:spacing w:after="40" w:before="0"/>
            </w:pPr>
            <w:r>
              <w:rPr>
                <w:rFonts w:ascii="Times New Roman" w:cs="Times New Roman" w:eastAsia="Times New Roman" w:hAnsi="Times New Roman"/>
                <w:b/>
                <w:bCs/>
                <w:color w:val="1B5E20"/>
                <w:sz w:val="22"/>
                <w:szCs w:val="22"/>
              </w:rPr>
              <w:t xml:space="preserve">Izzuddin Edi Siswanto, Lc., M.A.</w:t>
            </w:r>
          </w:p>
          <w:p>
            <w:r>
              <w:rPr>
                <w:rFonts w:ascii="Times New Roman" w:cs="Times New Roman" w:eastAsia="Times New Roman" w:hAnsi="Times New Roman"/>
                <w:sz w:val="20"/>
                <w:szCs w:val="20"/>
              </w:rPr>
              <w:t xml:space="preserve">NIDN: _______________</w:t>
            </w:r>
          </w:p>
        </w:tc>
      </w:tr>
    </w:tbl>
    <w:p>
      <w:pPr>
        <w:spacing w:after="200" w:before="0"/>
      </w:pPr>
      <w:r>
        <w:t xml:space="preserve"/>
      </w:r>
    </w:p>
    <w:sectPr>
      <w:headerReference w:type="default" r:id="rId7"/>
      <w:footerReference w:type="default" r:id="rId8"/>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spacing w:after="0" w:before="60"/>
      <w:jc w:val="center"/>
    </w:pPr>
    <w:r>
      <w:rPr>
        <w:rFonts w:ascii="Times New Roman" w:cs="Times New Roman" w:eastAsia="Times New Roman" w:hAnsi="Times New Roman"/>
        <w:color w:val="555555"/>
        <w:sz w:val="18"/>
        <w:szCs w:val="18"/>
      </w:rPr>
      <w:t xml:space="preserve">Halaman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dari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spacing w:after="60" w:before="0"/>
      <w:jc w:val="right"/>
    </w:pPr>
    <w:r>
      <w:rPr>
        <w:rFonts w:ascii="Times New Roman" w:cs="Times New Roman" w:eastAsia="Times New Roman" w:hAnsi="Times New Roman"/>
        <w:color w:val="2E7D32"/>
        <w:sz w:val="18"/>
        <w:szCs w:val="18"/>
      </w:rPr>
      <w:t xml:space="preserve">RPS | Manajemen Strategis | MKI11106/12106 | STEI Fitrah Insani | TA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2026-06-08T07:05:13.365Z</dcterms:created>
  <dcterms:modified xsi:type="dcterms:W3CDTF">2026-06-08T07:05:13.378Z</dcterms:modified>
</cp:coreProperties>
</file>

<file path=docProps/custom.xml><?xml version="1.0" encoding="utf-8"?>
<Properties xmlns="http://schemas.openxmlformats.org/officeDocument/2006/custom-properties" xmlns:vt="http://schemas.openxmlformats.org/officeDocument/2006/docPropsVTypes"/>
</file>