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RENCANA INDUK PENELITIAN (RIP) STEI FITRAH INSANI</w:t>
      </w:r>
    </w:p>
    <w:p>
      <w:pPr>
        <w:spacing w:after="160"/>
        <w:jc w:val="center"/>
      </w:pPr>
      <w:r>
        <w:rPr>
          <w:color w:val="555555"/>
          <w:sz w:val="18"/>
        </w:rPr>
        <w:t>Kode: F-LPPM-01-01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 RIP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20_____  s.d.  20_____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Ditetapkan oleh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LPPM bersama WK I dan Kaprodi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Rencana Induk Penelitian (RIP) adalah dokumen strategis yang memandu arah penelitian STEI Fitrah Insani untuk periode 5 tahun. RIP disusun berbasis keunggulan institusi, kebutuhan masyarakat, dan peta jalan keilmuan ekonomi Islam.</w:t>
      </w:r>
    </w:p>
    <w:p>
      <w:pPr>
        <w:spacing w:before="120" w:after="60"/>
      </w:pPr>
      <w:r>
        <w:rPr>
          <w:b/>
          <w:color w:val="1B5E20"/>
          <w:sz w:val="22"/>
        </w:rPr>
        <w:t>A. VISI DAN MISI PENELITIAN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Visi Penelitian</w:t>
            </w:r>
          </w:p>
        </w:tc>
        <w:tc>
          <w:tcPr>
            <w:tcW w:type="dxa" w:w="538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Misi Penelitian</w:t>
            </w:r>
          </w:p>
        </w:tc>
      </w:tr>
      <w:tr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Menjadi pusat penelitian ekonomi Islam yang inovatif dan berdampak bagi pengembangan umat pada tahun 20_____.</w:t>
            </w:r>
          </w:p>
        </w:tc>
        <w:tc>
          <w:tcPr>
            <w:tcW w:type="dxa" w:w="538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 Menghasilkan penelitian berkualitas di bidang ekonomi dan keuangan Islam</w:t>
              <w:br/>
              <w:t>2. Mendorong kolaborasi penelitian lintas disiplin dan lintas institusi</w:t>
              <w:br/>
              <w:t>3. Mengintegrasikan hasil penelitian ke dalam proses pembelajaran</w:t>
              <w:br/>
              <w:t>4. Berkontribusi pada pengembangan kebijakan ekonomi Islam nasional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PETA JALAN PENELITIAN (ROADMAP) 5 TAHUN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Tahun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Fokus Tema Penelitian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Luaran Target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Keberhasilan</w:t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 1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Pemetaan potensi ekonomi syariah lokal; baseline research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Lap. penelitian + 3 artikel SINTA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3 publikasi dosen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 2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Pengembangan model bisnis islami dan UMKM syariah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SINTA + 1 buku referensi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5 publikasi + 1 buku</w:t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 3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Inovasi produk dan layanan keuangan syariah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SINTA 2–3 + HKI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6 publikasi + 1 HKI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 4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Kebijakan dan regulasi ekonomi Islam di Indonesia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SINTA + Policy Brief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8 publikasi + 1 policy brief</w:t>
            </w:r>
          </w:p>
        </w:tc>
      </w:tr>
      <w:tr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Tahun 5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Integrasi ekonomi Islam dalam pembangunan berkelanjutan</w:t>
            </w:r>
          </w:p>
        </w:tc>
        <w:tc>
          <w:tcPr>
            <w:tcW w:type="dxa" w:w="255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Artikel SINTA/Scopus + buku teks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10 publikasi + 1 artikel Scopus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TOPIK PRIORITAS PENELITIAN STEI FI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/ Klaster Penelitian</w:t>
            </w:r>
          </w:p>
        </w:tc>
        <w:tc>
          <w:tcPr>
            <w:tcW w:type="dxa" w:w="612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Relevansi dengan Keunggulan STEI FI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Perbankan dan Keuangan Syariah (akad, produk, regulasi OJK)</w:t>
            </w:r>
          </w:p>
        </w:tc>
        <w:tc>
          <w:tcPr>
            <w:tcW w:type="dxa" w:w="612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Prodi PS dan ES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UMKM Berbasis Syariah (pembiayaan, manajemen, sertifikasi halal)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visi kewirausahaan islami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Zakat, Wakaf, dan Keuangan Sosial Islam (filantropi Islam)</w:t>
            </w:r>
          </w:p>
        </w:tc>
        <w:tc>
          <w:tcPr>
            <w:tcW w:type="dxa" w:w="612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konteks lokal dan nasional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Ekonomi Digital Islami (fintech syariah, e-commerce halal)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perkembangan industri halal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Pasar Modal Syariah dan Investasi Halal</w:t>
            </w:r>
          </w:p>
        </w:tc>
        <w:tc>
          <w:tcPr>
            <w:tcW w:type="dxa" w:w="6123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Prodi ES dan PS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Manajemen Risiko dan Tata Kelola Lembaga Keuangan Syariah</w:t>
            </w:r>
          </w:p>
        </w:tc>
        <w:tc>
          <w:tcPr>
            <w:tcW w:type="dxa" w:w="612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Sesuai kebutuhan industri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F-LPPM-01-01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F-LPPM-01-01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