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BUKU AGENDA SURAT KELUAR</w:t>
      </w:r>
    </w:p>
    <w:p>
      <w:pPr>
        <w:spacing w:after="160"/>
        <w:jc w:val="center"/>
      </w:pPr>
      <w:r>
        <w:rPr>
          <w:color w:val="555555"/>
          <w:sz w:val="18"/>
        </w:rPr>
        <w:t>Kode: F-WK2-05-02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WK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Kirim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Nomor Surat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Kepada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Perihal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Penandatangan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Via</w:t>
            </w:r>
          </w:p>
        </w:tc>
        <w:tc>
          <w:tcPr>
            <w:tcW w:type="dxa" w:w="90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Arsip Digital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</w:t>
              <w:br/>
              <w:t>☐ Email</w:t>
              <w:br/>
              <w:t>☐ WA</w:t>
              <w:br/>
              <w:t>☐ Langsung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F-WK2-05-02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F-WK2-05-02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