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SK KETUA TENTANG PENETAPAN PENERIMA BEASISWA</w:t>
      </w:r>
    </w:p>
    <w:p>
      <w:pPr>
        <w:spacing w:after="160"/>
        <w:jc w:val="center"/>
      </w:pPr>
      <w:r>
        <w:rPr>
          <w:color w:val="555555"/>
          <w:sz w:val="18"/>
        </w:rPr>
        <w:t>Kode: F-WK3-03-05   |   Jenis: SK / Surat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PENERIMA BEASISWA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Beasiswa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Penerima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mahasiswa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Beasiswa per Penerima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  <w:tc>
          <w:tcPr>
            <w:tcW w:type="dxa" w:w="300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Beasiswa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Beasiswa dicairkan melalui mekanisme WK II setelah penerima menandatangani Surat Pernyataan Penerima Beasiswa.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