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PEDOMAN ORGANISASI KEMAHASISWAAN STEI FI</w:t>
      </w:r>
    </w:p>
    <w:p>
      <w:pPr>
        <w:spacing w:after="160"/>
        <w:jc w:val="center"/>
      </w:pPr>
      <w:r>
        <w:rPr>
          <w:color w:val="555555"/>
          <w:sz w:val="18"/>
        </w:rPr>
        <w:t>Kode: F-WK3-04-01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Akademik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STRUKTUR ORGANISASI KEMAHASISWAAN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Lembaga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Singkatan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</w:r>
          </w:p>
        </w:tc>
        <w:tc>
          <w:tcPr>
            <w:tcW w:type="dxa" w:w="538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Fungsi Utama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Badan Eksekutif Mahasiswa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Institusi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Eksekutif tertinggi mahasiswa; mengkoordinasi seluruh kegiatan kemahasiswaan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Himpunan Mahasiswa Jurusan (per Prodi)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HMJ-ES / HMJ-PS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keilmuan dan minat bakat mahasiswa di prodi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Kegiatan Mahasiswa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UKM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Institusi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Minat bakat: seni, olahraga, keagamaan, kewirausahaan mahasiswa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PERSYARATAN MENJADI PENGURUS ORMAWA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aktif STEI FI (KRS lunas semester berjalan)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minimal 2,75 (untuk Ketua/Wakil Ketua), 2,50 (untuk anggota pengurus)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sedang menjalani sanksi akademik atau disiplin dari kampus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 rekomendasi dari Kaprodi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menandatangani kontrak keaktifan dan kode etik pengurus ormawa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Telah mengikuti Latihan Kepemimpinan Mahasiswa (LKM) atau pelatihan sejenis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HAK DAN KEWAJIBAN ORMAWA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Hak Ormawa</w:t>
            </w:r>
          </w:p>
        </w:tc>
        <w:tc>
          <w:tcPr>
            <w:tcW w:type="dxa" w:w="481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Kewajiban Ormawa</w:t>
            </w:r>
          </w:p>
        </w:tc>
      </w:tr>
      <w:tr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Menggunakan fasilitas kampus untuk kegiatan resmi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Menyusun program kerja tahunan dan anggaran sebelum memulai kepengurusan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 dukungan anggaran dari WK III sesuai RAPB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Melaporkan setiap kegiatan dengan LPJ tepat waktu</w:t>
            </w:r>
          </w:p>
        </w:tc>
      </w:tr>
      <w:tr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Melakukan kegiatan sesuai program kerja yang disetujui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Menjaga nama baik STEI FI dalam setiap kegiatan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Berpartisipasi dalam forum mahasiswa tingkat regional/nasional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Mempertanggung jawabkan penggunaan anggaran kepada WK 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