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PANDUAN IDENTITAS VISUAL DAN BRAND STEI FI</w:t>
      </w:r>
    </w:p>
    <w:p>
      <w:pPr>
        <w:spacing w:after="160"/>
        <w:jc w:val="center"/>
      </w:pPr>
      <w:r>
        <w:rPr>
          <w:color w:val="555555"/>
          <w:sz w:val="18"/>
        </w:rPr>
        <w:t>Kode: F-WK3-11-09   |   Jenis: Template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untuk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Seluruh materi komunikasi resmi STEI FI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Tim Kreatif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A. LOGO DAN PENGGUNAANNYA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 Penggunaan Logo</w:t>
            </w:r>
          </w:p>
        </w:tc>
        <w:tc>
          <w:tcPr>
            <w:tcW w:type="dxa" w:w="6803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Versi logo yang digunakan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Logo penuh (horizontal)    ☐ Logo ikon saja    ☐ Logo vertikal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Background yang diizinkan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Putih, krem, atau warna institusi (ungu/hijau)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Larangan</w:t>
            </w:r>
          </w:p>
        </w:tc>
        <w:tc>
          <w:tcPr>
            <w:tcW w:type="dxa" w:w="6803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boleh dipotong, diputar, diubah warna, atau ditimpa teks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Ukuran minimum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Logo tidak boleh lebih kecil dari 2 cm lebar pada cetakan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B. WARNA INSTITUSI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Warna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HEX</w:t>
            </w:r>
          </w:p>
        </w:tc>
        <w:tc>
          <w:tcPr>
            <w:tcW w:type="dxa" w:w="6236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Penggunaan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Ungu Tua (Primary)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#4A148C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Warna utama: header, judul, border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Ungu Medium (Secondary)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#6A1B9A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Aksen dan elemen pendukung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Ungu Muda (Background)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#E1BEE7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Background konten, tabel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Putih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#FFFFFF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Background utama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Abu-abu Teks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#555555</w:t>
            </w:r>
          </w:p>
        </w:tc>
        <w:tc>
          <w:tcPr>
            <w:tcW w:type="dxa" w:w="6236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Teks paragraf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C. TIPOGRAFI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Teks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Font</w:t>
            </w:r>
          </w:p>
        </w:tc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Ukuran</w:t>
            </w:r>
          </w:p>
        </w:tc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Judul Utama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 New Roman / Georgia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16–18 pt, Bold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Semua huruf kapital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Subjudul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 New Roman / Georgia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12–14 pt, Bold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Huruf kapital awal kata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Teks Isi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Times New Roman / Calibri</w:t>
            </w:r>
          </w:p>
        </w:tc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10–12 pt, Regular</w:t>
            </w:r>
          </w:p>
        </w:tc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Paragraf isi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F-WK3-11-09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F-WK3-11-09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