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ARSIP SK KAPRODI DAN SEKPRODI</w:t>
      </w:r>
    </w:p>
    <w:p>
      <w:pPr>
        <w:spacing w:after="160"/>
        <w:jc w:val="center"/>
      </w:pPr>
      <w:r>
        <w:rPr>
          <w:color w:val="555555"/>
          <w:sz w:val="18"/>
        </w:rPr>
        <w:t>Kode: F-PRODI-13-04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Nomor SK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Perihal SK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Pejabat yang Ditetapkan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 Berlaku</w:t>
            </w:r>
          </w:p>
        </w:tc>
        <w:tc>
          <w:tcPr>
            <w:tcW w:type="dxa" w:w="73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Lokasi Arsip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s.d. ___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s.d. ___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s.d. ___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s.d. ___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s.d. ___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s.d. ___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s.d. ___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s.d. ___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s.d. ___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SK Kaprodi dan Sekprodi wajib diarsipkan dalam folder khusus dan mudah diakses untuk akreditasi.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F-PRODI-13-04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F-PRODI-13-04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