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Times New Roman" w:cs="Times New Roman" w:eastAsia="Times New Roman" w:hAnsi="Times New Roman"/>
          <w:b/>
          <w:bCs/>
          <w:color w:val="006064"/>
          <w:sz w:val="36"/>
          <w:szCs w:val="36"/>
        </w:rPr>
        <w:t xml:space="preserve">RENCANA PEMBELAJARAN SEMESTER (RPS)</w:t>
      </w:r>
    </w:p>
    <w:p>
      <w:pPr>
        <w:pBdr>
          <w:bottom w:val="thick" w:color="C84B00" w:sz="12" w:space="4"/>
        </w:pBdr>
        <w:spacing w:after="80" w:before="0"/>
        <w:jc w:val="center"/>
      </w:pPr>
      <w:r>
        <w:rPr>
          <w:sz w:val="28"/>
          <w:szCs w:val="28"/>
        </w:rPr>
        <w:t xml:space="preserve"/>
      </w:r>
    </w:p>
    <w:p>
      <w:pPr>
        <w:spacing w:after="160" w:before="0"/>
      </w:pPr>
      <w:r>
        <w:t xml:space="preserve"/>
      </w:r>
    </w:p>
    <w:p>
      <w:pPr>
        <w:spacing w:after="60" w:before="60"/>
        <w:jc w:val="center"/>
      </w:pPr>
      <w:r>
        <w:rPr>
          <w:rFonts w:ascii="Times New Roman" w:cs="Times New Roman" w:eastAsia="Times New Roman" w:hAnsi="Times New Roman"/>
          <w:b/>
          <w:bCs/>
          <w:color w:val="006064"/>
          <w:sz w:val="44"/>
          <w:szCs w:val="44"/>
        </w:rPr>
        <w:t xml:space="preserve">KEUANGAN MIKRO ISLAM</w:t>
      </w:r>
    </w:p>
    <w:p>
      <w:pPr>
        <w:spacing w:after="240" w:before="40"/>
        <w:jc w:val="center"/>
      </w:pPr>
      <w:r>
        <w:rPr>
          <w:rFonts w:ascii="Times New Roman" w:cs="Times New Roman" w:eastAsia="Times New Roman" w:hAnsi="Times New Roman"/>
          <w:b/>
          <w:bCs/>
          <w:color w:val="C84B00"/>
          <w:sz w:val="24"/>
          <w:szCs w:val="24"/>
        </w:rPr>
        <w:t xml:space="preserve">Kode MK: MKI11104 / MKI12104  |  3 SKS  |  Semester VI</w:t>
      </w:r>
    </w:p>
    <w:p>
      <w:pPr>
        <w:spacing w:after="300" w:before="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tblGrid>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006064"/>
                <w:sz w:val="22"/>
                <w:szCs w:val="22"/>
              </w:rPr>
              <w:t xml:space="preserve">Program Studi</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Ekonomi Syariah &amp; Perbankan Syariah</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006064"/>
                <w:sz w:val="22"/>
                <w:szCs w:val="22"/>
              </w:rPr>
              <w:t xml:space="preserve">Dosen Pengampu</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Ganjar Santika, S.E.I., M.E.</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006064"/>
                <w:sz w:val="22"/>
                <w:szCs w:val="22"/>
              </w:rPr>
              <w:t xml:space="preserve">Jadwal Reguler</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Rabu, 19.30-21.00 WIB / Sabtu, 15.30-17.00 WIB</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006064"/>
                <w:sz w:val="22"/>
                <w:szCs w:val="22"/>
              </w:rPr>
              <w:t xml:space="preserve">Tahun Akademik</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2025/2026 (Semester Genap)</w:t>
            </w:r>
          </w:p>
        </w:tc>
      </w:tr>
    </w:tbl>
    <w:p>
      <w:pPr>
        <w:spacing w:after="600" w:before="0"/>
      </w:pPr>
      <w:r>
        <w:t xml:space="preserve"/>
      </w:r>
    </w:p>
    <w:p>
      <w:pPr>
        <w:spacing w:after="40" w:before="100"/>
        <w:jc w:val="center"/>
      </w:pPr>
      <w:r>
        <w:rPr>
          <w:rFonts w:ascii="Times New Roman" w:cs="Times New Roman" w:eastAsia="Times New Roman" w:hAnsi="Times New Roman"/>
          <w:b/>
          <w:bCs/>
          <w:color w:val="006064"/>
          <w:sz w:val="28"/>
          <w:szCs w:val="28"/>
        </w:rPr>
        <w:t xml:space="preserve">SEKOLAH TINGGI EKONOMI ISLAM (STEI)</w:t>
      </w:r>
    </w:p>
    <w:p>
      <w:pPr>
        <w:spacing w:after="40" w:before="0"/>
        <w:jc w:val="center"/>
      </w:pPr>
      <w:r>
        <w:rPr>
          <w:rFonts w:ascii="Times New Roman" w:cs="Times New Roman" w:eastAsia="Times New Roman" w:hAnsi="Times New Roman"/>
          <w:b/>
          <w:bCs/>
          <w:color w:val="006064"/>
          <w:sz w:val="34"/>
          <w:szCs w:val="34"/>
        </w:rPr>
        <w:t xml:space="preserve">FITRAH INSANI</w:t>
      </w:r>
    </w:p>
    <w:p>
      <w:pPr>
        <w:spacing w:after="40" w:before="0"/>
        <w:jc w:val="center"/>
      </w:pPr>
      <w:r>
        <w:rPr>
          <w:rFonts w:ascii="Times New Roman" w:cs="Times New Roman" w:eastAsia="Times New Roman" w:hAnsi="Times New Roman"/>
          <w:color w:val="555555"/>
          <w:sz w:val="20"/>
          <w:szCs w:val="20"/>
        </w:rPr>
        <w:t xml:space="preserve">Jl. Raya Gadobangkong No. 91, Kab. Bandung Barat, Jawa Barat</w:t>
      </w:r>
    </w:p>
    <w:p>
      <w:pPr>
        <w:spacing w:after="40" w:before="0"/>
        <w:jc w:val="center"/>
      </w:pPr>
      <w:r>
        <w:rPr>
          <w:rFonts w:ascii="Times New Roman" w:cs="Times New Roman" w:eastAsia="Times New Roman" w:hAnsi="Times New Roman"/>
          <w:b/>
          <w:bCs/>
          <w:color w:val="C84B00"/>
          <w:sz w:val="22"/>
          <w:szCs w:val="22"/>
        </w:rPr>
        <w:t xml:space="preserve">Tahun 2026</w:t>
      </w:r>
    </w:p>
    <w:p>
      <w:r>
        <w:br w:type="page"/>
      </w:r>
    </w:p>
    <w:p>
      <w:pPr>
        <w:pBdr>
          <w:bottom w:val="single" w:color="006064" w:sz="8" w:space="4"/>
        </w:pBdr>
        <w:spacing w:after="120" w:before="300"/>
      </w:pPr>
      <w:r>
        <w:rPr>
          <w:rFonts w:ascii="Times New Roman" w:cs="Times New Roman" w:eastAsia="Times New Roman" w:hAnsi="Times New Roman"/>
          <w:b/>
          <w:bCs/>
          <w:caps/>
          <w:color w:val="006064"/>
          <w:sz w:val="28"/>
          <w:szCs w:val="28"/>
        </w:rPr>
        <w:t xml:space="preserve">A. IDENTITAS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6200"/>
      </w:tblGrid>
      <w:tr>
        <w:tc>
          <w:tcPr>
            <w:tcW w:type="dxa" w:w="2800"/>
            <w:tcBorders>
              <w:top w:val="single" w:color="AAAAAA" w:sz="6"/>
              <w:left w:val="single" w:color="AAAAAA" w:sz="6"/>
              <w:bottom w:val="single" w:color="AAAAAA" w:sz="6"/>
              <w:right w:val="single" w:color="AAAAAA" w:sz="6"/>
            </w:tcBorders>
            <w:shd w:fill="E0F7FA" w:val="clear"/>
            <w:tcMar>
              <w:top w:type="dxa" w:w="80"/>
              <w:left w:type="dxa" w:w="120"/>
              <w:bottom w:type="dxa" w:w="80"/>
              <w:right w:type="dxa" w:w="80"/>
            </w:tcMar>
          </w:tcPr>
          <w:p>
            <w:r>
              <w:rPr>
                <w:rFonts w:ascii="Times New Roman" w:cs="Times New Roman" w:eastAsia="Times New Roman" w:hAnsi="Times New Roman"/>
                <w:b/>
                <w:bCs/>
                <w:color w:val="006064"/>
                <w:sz w:val="22"/>
                <w:szCs w:val="22"/>
              </w:rPr>
              <w:t xml:space="preserve">Nama Perguruan Tinggi</w:t>
            </w:r>
          </w:p>
        </w:tc>
        <w:tc>
          <w:tcPr>
            <w:tcW w:type="dxa" w:w="200"/>
            <w:tcBorders>
              <w:top w:val="single" w:color="AAAAAA" w:sz="6"/>
              <w:left w:val="single" w:color="AAAAAA" w:sz="6"/>
              <w:bottom w:val="single" w:color="AAAAAA" w:sz="6"/>
              <w:right w:val="single" w:color="AAAAAA" w:sz="6"/>
            </w:tcBorders>
            <w:shd w:fill="E0F7FA" w:val="clear"/>
            <w:tcMar>
              <w:top w:type="dxa" w:w="80"/>
              <w:left w:type="dxa" w:w="40"/>
              <w:bottom w:type="dxa" w:w="80"/>
              <w:right w:type="dxa" w:w="40"/>
            </w:tcMar>
          </w:tcPr>
          <w:p>
            <w:pPr>
              <w:jc w:val="center"/>
            </w:pPr>
            <w:r>
              <w:rPr>
                <w:rFonts w:ascii="Times New Roman" w:cs="Times New Roman" w:eastAsia="Times New Roman" w:hAnsi="Times New Roman"/>
                <w:b/>
                <w:bCs/>
                <w:color w:val="006064"/>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STEI Fitrah Insani</w:t>
            </w:r>
          </w:p>
        </w:tc>
      </w:tr>
      <w:tr>
        <w:tc>
          <w:tcPr>
            <w:tcW w:type="dxa" w:w="2800"/>
            <w:tcBorders>
              <w:top w:val="single" w:color="AAAAAA" w:sz="6"/>
              <w:left w:val="single" w:color="AAAAAA" w:sz="6"/>
              <w:bottom w:val="single" w:color="AAAAAA" w:sz="6"/>
              <w:right w:val="single" w:color="AAAAAA" w:sz="6"/>
            </w:tcBorders>
            <w:shd w:fill="E0F7FA" w:val="clear"/>
            <w:tcMar>
              <w:top w:type="dxa" w:w="80"/>
              <w:left w:type="dxa" w:w="120"/>
              <w:bottom w:type="dxa" w:w="80"/>
              <w:right w:type="dxa" w:w="80"/>
            </w:tcMar>
          </w:tcPr>
          <w:p>
            <w:r>
              <w:rPr>
                <w:rFonts w:ascii="Times New Roman" w:cs="Times New Roman" w:eastAsia="Times New Roman" w:hAnsi="Times New Roman"/>
                <w:b/>
                <w:bCs/>
                <w:color w:val="006064"/>
                <w:sz w:val="22"/>
                <w:szCs w:val="22"/>
              </w:rPr>
              <w:t xml:space="preserve">Program Studi</w:t>
            </w:r>
          </w:p>
        </w:tc>
        <w:tc>
          <w:tcPr>
            <w:tcW w:type="dxa" w:w="200"/>
            <w:tcBorders>
              <w:top w:val="single" w:color="AAAAAA" w:sz="6"/>
              <w:left w:val="single" w:color="AAAAAA" w:sz="6"/>
              <w:bottom w:val="single" w:color="AAAAAA" w:sz="6"/>
              <w:right w:val="single" w:color="AAAAAA" w:sz="6"/>
            </w:tcBorders>
            <w:shd w:fill="E0F7FA" w:val="clear"/>
            <w:tcMar>
              <w:top w:type="dxa" w:w="80"/>
              <w:left w:type="dxa" w:w="40"/>
              <w:bottom w:type="dxa" w:w="80"/>
              <w:right w:type="dxa" w:w="40"/>
            </w:tcMar>
          </w:tcPr>
          <w:p>
            <w:pPr>
              <w:jc w:val="center"/>
            </w:pPr>
            <w:r>
              <w:rPr>
                <w:rFonts w:ascii="Times New Roman" w:cs="Times New Roman" w:eastAsia="Times New Roman" w:hAnsi="Times New Roman"/>
                <w:b/>
                <w:bCs/>
                <w:color w:val="006064"/>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Ekonomi Syariah / Perbankan Syariah</w:t>
            </w:r>
          </w:p>
        </w:tc>
      </w:tr>
      <w:tr>
        <w:tc>
          <w:tcPr>
            <w:tcW w:type="dxa" w:w="2800"/>
            <w:tcBorders>
              <w:top w:val="single" w:color="AAAAAA" w:sz="6"/>
              <w:left w:val="single" w:color="AAAAAA" w:sz="6"/>
              <w:bottom w:val="single" w:color="AAAAAA" w:sz="6"/>
              <w:right w:val="single" w:color="AAAAAA" w:sz="6"/>
            </w:tcBorders>
            <w:shd w:fill="E0F7FA" w:val="clear"/>
            <w:tcMar>
              <w:top w:type="dxa" w:w="80"/>
              <w:left w:type="dxa" w:w="120"/>
              <w:bottom w:type="dxa" w:w="80"/>
              <w:right w:type="dxa" w:w="80"/>
            </w:tcMar>
          </w:tcPr>
          <w:p>
            <w:r>
              <w:rPr>
                <w:rFonts w:ascii="Times New Roman" w:cs="Times New Roman" w:eastAsia="Times New Roman" w:hAnsi="Times New Roman"/>
                <w:b/>
                <w:bCs/>
                <w:color w:val="006064"/>
                <w:sz w:val="22"/>
                <w:szCs w:val="22"/>
              </w:rPr>
              <w:t xml:space="preserve">Nama Mata Kuliah</w:t>
            </w:r>
          </w:p>
        </w:tc>
        <w:tc>
          <w:tcPr>
            <w:tcW w:type="dxa" w:w="200"/>
            <w:tcBorders>
              <w:top w:val="single" w:color="AAAAAA" w:sz="6"/>
              <w:left w:val="single" w:color="AAAAAA" w:sz="6"/>
              <w:bottom w:val="single" w:color="AAAAAA" w:sz="6"/>
              <w:right w:val="single" w:color="AAAAAA" w:sz="6"/>
            </w:tcBorders>
            <w:shd w:fill="E0F7FA" w:val="clear"/>
            <w:tcMar>
              <w:top w:type="dxa" w:w="80"/>
              <w:left w:type="dxa" w:w="40"/>
              <w:bottom w:type="dxa" w:w="80"/>
              <w:right w:type="dxa" w:w="40"/>
            </w:tcMar>
          </w:tcPr>
          <w:p>
            <w:pPr>
              <w:jc w:val="center"/>
            </w:pPr>
            <w:r>
              <w:rPr>
                <w:rFonts w:ascii="Times New Roman" w:cs="Times New Roman" w:eastAsia="Times New Roman" w:hAnsi="Times New Roman"/>
                <w:b/>
                <w:bCs/>
                <w:color w:val="006064"/>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Keuangan Mikro Islam</w:t>
            </w:r>
          </w:p>
        </w:tc>
      </w:tr>
      <w:tr>
        <w:tc>
          <w:tcPr>
            <w:tcW w:type="dxa" w:w="2800"/>
            <w:tcBorders>
              <w:top w:val="single" w:color="AAAAAA" w:sz="6"/>
              <w:left w:val="single" w:color="AAAAAA" w:sz="6"/>
              <w:bottom w:val="single" w:color="AAAAAA" w:sz="6"/>
              <w:right w:val="single" w:color="AAAAAA" w:sz="6"/>
            </w:tcBorders>
            <w:shd w:fill="E0F7FA" w:val="clear"/>
            <w:tcMar>
              <w:top w:type="dxa" w:w="80"/>
              <w:left w:type="dxa" w:w="120"/>
              <w:bottom w:type="dxa" w:w="80"/>
              <w:right w:type="dxa" w:w="80"/>
            </w:tcMar>
          </w:tcPr>
          <w:p>
            <w:r>
              <w:rPr>
                <w:rFonts w:ascii="Times New Roman" w:cs="Times New Roman" w:eastAsia="Times New Roman" w:hAnsi="Times New Roman"/>
                <w:b/>
                <w:bCs/>
                <w:color w:val="006064"/>
                <w:sz w:val="22"/>
                <w:szCs w:val="22"/>
              </w:rPr>
              <w:t xml:space="preserve">Kode Mata Kuliah</w:t>
            </w:r>
          </w:p>
        </w:tc>
        <w:tc>
          <w:tcPr>
            <w:tcW w:type="dxa" w:w="200"/>
            <w:tcBorders>
              <w:top w:val="single" w:color="AAAAAA" w:sz="6"/>
              <w:left w:val="single" w:color="AAAAAA" w:sz="6"/>
              <w:bottom w:val="single" w:color="AAAAAA" w:sz="6"/>
              <w:right w:val="single" w:color="AAAAAA" w:sz="6"/>
            </w:tcBorders>
            <w:shd w:fill="E0F7FA" w:val="clear"/>
            <w:tcMar>
              <w:top w:type="dxa" w:w="80"/>
              <w:left w:type="dxa" w:w="40"/>
              <w:bottom w:type="dxa" w:w="80"/>
              <w:right w:type="dxa" w:w="40"/>
            </w:tcMar>
          </w:tcPr>
          <w:p>
            <w:pPr>
              <w:jc w:val="center"/>
            </w:pPr>
            <w:r>
              <w:rPr>
                <w:rFonts w:ascii="Times New Roman" w:cs="Times New Roman" w:eastAsia="Times New Roman" w:hAnsi="Times New Roman"/>
                <w:b/>
                <w:bCs/>
                <w:color w:val="006064"/>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MKI11104 (ES) / MKI12104 (PS)</w:t>
            </w:r>
          </w:p>
        </w:tc>
      </w:tr>
      <w:tr>
        <w:tc>
          <w:tcPr>
            <w:tcW w:type="dxa" w:w="2800"/>
            <w:tcBorders>
              <w:top w:val="single" w:color="AAAAAA" w:sz="6"/>
              <w:left w:val="single" w:color="AAAAAA" w:sz="6"/>
              <w:bottom w:val="single" w:color="AAAAAA" w:sz="6"/>
              <w:right w:val="single" w:color="AAAAAA" w:sz="6"/>
            </w:tcBorders>
            <w:shd w:fill="E0F7FA" w:val="clear"/>
            <w:tcMar>
              <w:top w:type="dxa" w:w="80"/>
              <w:left w:type="dxa" w:w="120"/>
              <w:bottom w:type="dxa" w:w="80"/>
              <w:right w:type="dxa" w:w="80"/>
            </w:tcMar>
          </w:tcPr>
          <w:p>
            <w:r>
              <w:rPr>
                <w:rFonts w:ascii="Times New Roman" w:cs="Times New Roman" w:eastAsia="Times New Roman" w:hAnsi="Times New Roman"/>
                <w:b/>
                <w:bCs/>
                <w:color w:val="006064"/>
                <w:sz w:val="22"/>
                <w:szCs w:val="22"/>
              </w:rPr>
              <w:t xml:space="preserve">Klasifikasi</w:t>
            </w:r>
          </w:p>
        </w:tc>
        <w:tc>
          <w:tcPr>
            <w:tcW w:type="dxa" w:w="200"/>
            <w:tcBorders>
              <w:top w:val="single" w:color="AAAAAA" w:sz="6"/>
              <w:left w:val="single" w:color="AAAAAA" w:sz="6"/>
              <w:bottom w:val="single" w:color="AAAAAA" w:sz="6"/>
              <w:right w:val="single" w:color="AAAAAA" w:sz="6"/>
            </w:tcBorders>
            <w:shd w:fill="E0F7FA" w:val="clear"/>
            <w:tcMar>
              <w:top w:type="dxa" w:w="80"/>
              <w:left w:type="dxa" w:w="40"/>
              <w:bottom w:type="dxa" w:w="80"/>
              <w:right w:type="dxa" w:w="40"/>
            </w:tcMar>
          </w:tcPr>
          <w:p>
            <w:pPr>
              <w:jc w:val="center"/>
            </w:pPr>
            <w:r>
              <w:rPr>
                <w:rFonts w:ascii="Times New Roman" w:cs="Times New Roman" w:eastAsia="Times New Roman" w:hAnsi="Times New Roman"/>
                <w:b/>
                <w:bCs/>
                <w:color w:val="006064"/>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Mata Kuliah Keahlian Inti (MKKI) - Wajib Prodi</w:t>
            </w:r>
          </w:p>
        </w:tc>
      </w:tr>
      <w:tr>
        <w:tc>
          <w:tcPr>
            <w:tcW w:type="dxa" w:w="2800"/>
            <w:tcBorders>
              <w:top w:val="single" w:color="AAAAAA" w:sz="6"/>
              <w:left w:val="single" w:color="AAAAAA" w:sz="6"/>
              <w:bottom w:val="single" w:color="AAAAAA" w:sz="6"/>
              <w:right w:val="single" w:color="AAAAAA" w:sz="6"/>
            </w:tcBorders>
            <w:shd w:fill="E0F7FA" w:val="clear"/>
            <w:tcMar>
              <w:top w:type="dxa" w:w="80"/>
              <w:left w:type="dxa" w:w="120"/>
              <w:bottom w:type="dxa" w:w="80"/>
              <w:right w:type="dxa" w:w="80"/>
            </w:tcMar>
          </w:tcPr>
          <w:p>
            <w:r>
              <w:rPr>
                <w:rFonts w:ascii="Times New Roman" w:cs="Times New Roman" w:eastAsia="Times New Roman" w:hAnsi="Times New Roman"/>
                <w:b/>
                <w:bCs/>
                <w:color w:val="006064"/>
                <w:sz w:val="22"/>
                <w:szCs w:val="22"/>
              </w:rPr>
              <w:t xml:space="preserve">Bobot SKS</w:t>
            </w:r>
          </w:p>
        </w:tc>
        <w:tc>
          <w:tcPr>
            <w:tcW w:type="dxa" w:w="200"/>
            <w:tcBorders>
              <w:top w:val="single" w:color="AAAAAA" w:sz="6"/>
              <w:left w:val="single" w:color="AAAAAA" w:sz="6"/>
              <w:bottom w:val="single" w:color="AAAAAA" w:sz="6"/>
              <w:right w:val="single" w:color="AAAAAA" w:sz="6"/>
            </w:tcBorders>
            <w:shd w:fill="E0F7FA" w:val="clear"/>
            <w:tcMar>
              <w:top w:type="dxa" w:w="80"/>
              <w:left w:type="dxa" w:w="40"/>
              <w:bottom w:type="dxa" w:w="80"/>
              <w:right w:type="dxa" w:w="40"/>
            </w:tcMar>
          </w:tcPr>
          <w:p>
            <w:pPr>
              <w:jc w:val="center"/>
            </w:pPr>
            <w:r>
              <w:rPr>
                <w:rFonts w:ascii="Times New Roman" w:cs="Times New Roman" w:eastAsia="Times New Roman" w:hAnsi="Times New Roman"/>
                <w:b/>
                <w:bCs/>
                <w:color w:val="006064"/>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3 SKS (2 SKS Teori + 1 SKS Praktikum/Analisis Lapangan)</w:t>
            </w:r>
          </w:p>
        </w:tc>
      </w:tr>
      <w:tr>
        <w:tc>
          <w:tcPr>
            <w:tcW w:type="dxa" w:w="2800"/>
            <w:tcBorders>
              <w:top w:val="single" w:color="AAAAAA" w:sz="6"/>
              <w:left w:val="single" w:color="AAAAAA" w:sz="6"/>
              <w:bottom w:val="single" w:color="AAAAAA" w:sz="6"/>
              <w:right w:val="single" w:color="AAAAAA" w:sz="6"/>
            </w:tcBorders>
            <w:shd w:fill="E0F7FA" w:val="clear"/>
            <w:tcMar>
              <w:top w:type="dxa" w:w="80"/>
              <w:left w:type="dxa" w:w="120"/>
              <w:bottom w:type="dxa" w:w="80"/>
              <w:right w:type="dxa" w:w="80"/>
            </w:tcMar>
          </w:tcPr>
          <w:p>
            <w:r>
              <w:rPr>
                <w:rFonts w:ascii="Times New Roman" w:cs="Times New Roman" w:eastAsia="Times New Roman" w:hAnsi="Times New Roman"/>
                <w:b/>
                <w:bCs/>
                <w:color w:val="006064"/>
                <w:sz w:val="22"/>
                <w:szCs w:val="22"/>
              </w:rPr>
              <w:t xml:space="preserve">Semester</w:t>
            </w:r>
          </w:p>
        </w:tc>
        <w:tc>
          <w:tcPr>
            <w:tcW w:type="dxa" w:w="200"/>
            <w:tcBorders>
              <w:top w:val="single" w:color="AAAAAA" w:sz="6"/>
              <w:left w:val="single" w:color="AAAAAA" w:sz="6"/>
              <w:bottom w:val="single" w:color="AAAAAA" w:sz="6"/>
              <w:right w:val="single" w:color="AAAAAA" w:sz="6"/>
            </w:tcBorders>
            <w:shd w:fill="E0F7FA" w:val="clear"/>
            <w:tcMar>
              <w:top w:type="dxa" w:w="80"/>
              <w:left w:type="dxa" w:w="40"/>
              <w:bottom w:type="dxa" w:w="80"/>
              <w:right w:type="dxa" w:w="40"/>
            </w:tcMar>
          </w:tcPr>
          <w:p>
            <w:pPr>
              <w:jc w:val="center"/>
            </w:pPr>
            <w:r>
              <w:rPr>
                <w:rFonts w:ascii="Times New Roman" w:cs="Times New Roman" w:eastAsia="Times New Roman" w:hAnsi="Times New Roman"/>
                <w:b/>
                <w:bCs/>
                <w:color w:val="006064"/>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VI (Enam) - Reguler</w:t>
            </w:r>
          </w:p>
        </w:tc>
      </w:tr>
      <w:tr>
        <w:tc>
          <w:tcPr>
            <w:tcW w:type="dxa" w:w="2800"/>
            <w:tcBorders>
              <w:top w:val="single" w:color="AAAAAA" w:sz="6"/>
              <w:left w:val="single" w:color="AAAAAA" w:sz="6"/>
              <w:bottom w:val="single" w:color="AAAAAA" w:sz="6"/>
              <w:right w:val="single" w:color="AAAAAA" w:sz="6"/>
            </w:tcBorders>
            <w:shd w:fill="E0F7FA" w:val="clear"/>
            <w:tcMar>
              <w:top w:type="dxa" w:w="80"/>
              <w:left w:type="dxa" w:w="120"/>
              <w:bottom w:type="dxa" w:w="80"/>
              <w:right w:type="dxa" w:w="80"/>
            </w:tcMar>
          </w:tcPr>
          <w:p>
            <w:r>
              <w:rPr>
                <w:rFonts w:ascii="Times New Roman" w:cs="Times New Roman" w:eastAsia="Times New Roman" w:hAnsi="Times New Roman"/>
                <w:b/>
                <w:bCs/>
                <w:color w:val="006064"/>
                <w:sz w:val="22"/>
                <w:szCs w:val="22"/>
              </w:rPr>
              <w:t xml:space="preserve">Prasyarat</w:t>
            </w:r>
          </w:p>
        </w:tc>
        <w:tc>
          <w:tcPr>
            <w:tcW w:type="dxa" w:w="200"/>
            <w:tcBorders>
              <w:top w:val="single" w:color="AAAAAA" w:sz="6"/>
              <w:left w:val="single" w:color="AAAAAA" w:sz="6"/>
              <w:bottom w:val="single" w:color="AAAAAA" w:sz="6"/>
              <w:right w:val="single" w:color="AAAAAA" w:sz="6"/>
            </w:tcBorders>
            <w:shd w:fill="E0F7FA" w:val="clear"/>
            <w:tcMar>
              <w:top w:type="dxa" w:w="80"/>
              <w:left w:type="dxa" w:w="40"/>
              <w:bottom w:type="dxa" w:w="80"/>
              <w:right w:type="dxa" w:w="40"/>
            </w:tcMar>
          </w:tcPr>
          <w:p>
            <w:pPr>
              <w:jc w:val="center"/>
            </w:pPr>
            <w:r>
              <w:rPr>
                <w:rFonts w:ascii="Times New Roman" w:cs="Times New Roman" w:eastAsia="Times New Roman" w:hAnsi="Times New Roman"/>
                <w:b/>
                <w:bCs/>
                <w:color w:val="006064"/>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Ekonomi Mikro Islam (Smt IV); Manajemen Keuangan Syariah (Smt IV); Rekayasa Sosial Ekonomi Syariah (Smt VI paralel)</w:t>
            </w:r>
          </w:p>
        </w:tc>
      </w:tr>
      <w:tr>
        <w:tc>
          <w:tcPr>
            <w:tcW w:type="dxa" w:w="2800"/>
            <w:tcBorders>
              <w:top w:val="single" w:color="AAAAAA" w:sz="6"/>
              <w:left w:val="single" w:color="AAAAAA" w:sz="6"/>
              <w:bottom w:val="single" w:color="AAAAAA" w:sz="6"/>
              <w:right w:val="single" w:color="AAAAAA" w:sz="6"/>
            </w:tcBorders>
            <w:shd w:fill="E0F7FA" w:val="clear"/>
            <w:tcMar>
              <w:top w:type="dxa" w:w="80"/>
              <w:left w:type="dxa" w:w="120"/>
              <w:bottom w:type="dxa" w:w="80"/>
              <w:right w:type="dxa" w:w="80"/>
            </w:tcMar>
          </w:tcPr>
          <w:p>
            <w:r>
              <w:rPr>
                <w:rFonts w:ascii="Times New Roman" w:cs="Times New Roman" w:eastAsia="Times New Roman" w:hAnsi="Times New Roman"/>
                <w:b/>
                <w:bCs/>
                <w:color w:val="006064"/>
                <w:sz w:val="22"/>
                <w:szCs w:val="22"/>
              </w:rPr>
              <w:t xml:space="preserve">Dosen Pengampu</w:t>
            </w:r>
          </w:p>
        </w:tc>
        <w:tc>
          <w:tcPr>
            <w:tcW w:type="dxa" w:w="200"/>
            <w:tcBorders>
              <w:top w:val="single" w:color="AAAAAA" w:sz="6"/>
              <w:left w:val="single" w:color="AAAAAA" w:sz="6"/>
              <w:bottom w:val="single" w:color="AAAAAA" w:sz="6"/>
              <w:right w:val="single" w:color="AAAAAA" w:sz="6"/>
            </w:tcBorders>
            <w:shd w:fill="E0F7FA" w:val="clear"/>
            <w:tcMar>
              <w:top w:type="dxa" w:w="80"/>
              <w:left w:type="dxa" w:w="40"/>
              <w:bottom w:type="dxa" w:w="80"/>
              <w:right w:type="dxa" w:w="40"/>
            </w:tcMar>
          </w:tcPr>
          <w:p>
            <w:pPr>
              <w:jc w:val="center"/>
            </w:pPr>
            <w:r>
              <w:rPr>
                <w:rFonts w:ascii="Times New Roman" w:cs="Times New Roman" w:eastAsia="Times New Roman" w:hAnsi="Times New Roman"/>
                <w:b/>
                <w:bCs/>
                <w:color w:val="006064"/>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Ganjar Santika, S.E.I., M.E.</w:t>
            </w:r>
          </w:p>
        </w:tc>
      </w:tr>
      <w:tr>
        <w:tc>
          <w:tcPr>
            <w:tcW w:type="dxa" w:w="2800"/>
            <w:tcBorders>
              <w:top w:val="single" w:color="AAAAAA" w:sz="6"/>
              <w:left w:val="single" w:color="AAAAAA" w:sz="6"/>
              <w:bottom w:val="single" w:color="AAAAAA" w:sz="6"/>
              <w:right w:val="single" w:color="AAAAAA" w:sz="6"/>
            </w:tcBorders>
            <w:shd w:fill="E0F7FA" w:val="clear"/>
            <w:tcMar>
              <w:top w:type="dxa" w:w="80"/>
              <w:left w:type="dxa" w:w="120"/>
              <w:bottom w:type="dxa" w:w="80"/>
              <w:right w:type="dxa" w:w="80"/>
            </w:tcMar>
          </w:tcPr>
          <w:p>
            <w:r>
              <w:rPr>
                <w:rFonts w:ascii="Times New Roman" w:cs="Times New Roman" w:eastAsia="Times New Roman" w:hAnsi="Times New Roman"/>
                <w:b/>
                <w:bCs/>
                <w:color w:val="006064"/>
                <w:sz w:val="22"/>
                <w:szCs w:val="22"/>
              </w:rPr>
              <w:t xml:space="preserve">Jadwal Perkuliahan</w:t>
            </w:r>
          </w:p>
        </w:tc>
        <w:tc>
          <w:tcPr>
            <w:tcW w:type="dxa" w:w="200"/>
            <w:tcBorders>
              <w:top w:val="single" w:color="AAAAAA" w:sz="6"/>
              <w:left w:val="single" w:color="AAAAAA" w:sz="6"/>
              <w:bottom w:val="single" w:color="AAAAAA" w:sz="6"/>
              <w:right w:val="single" w:color="AAAAAA" w:sz="6"/>
            </w:tcBorders>
            <w:shd w:fill="E0F7FA" w:val="clear"/>
            <w:tcMar>
              <w:top w:type="dxa" w:w="80"/>
              <w:left w:type="dxa" w:w="40"/>
              <w:bottom w:type="dxa" w:w="80"/>
              <w:right w:type="dxa" w:w="40"/>
            </w:tcMar>
          </w:tcPr>
          <w:p>
            <w:pPr>
              <w:jc w:val="center"/>
            </w:pPr>
            <w:r>
              <w:rPr>
                <w:rFonts w:ascii="Times New Roman" w:cs="Times New Roman" w:eastAsia="Times New Roman" w:hAnsi="Times New Roman"/>
                <w:b/>
                <w:bCs/>
                <w:color w:val="006064"/>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Rabu, 19.30-21.00 WIB (Reguler) | Sabtu, 15.30-17.00 WIB (Karyawan)</w:t>
            </w:r>
          </w:p>
        </w:tc>
      </w:tr>
      <w:tr>
        <w:tc>
          <w:tcPr>
            <w:tcW w:type="dxa" w:w="2800"/>
            <w:tcBorders>
              <w:top w:val="single" w:color="AAAAAA" w:sz="6"/>
              <w:left w:val="single" w:color="AAAAAA" w:sz="6"/>
              <w:bottom w:val="single" w:color="AAAAAA" w:sz="6"/>
              <w:right w:val="single" w:color="AAAAAA" w:sz="6"/>
            </w:tcBorders>
            <w:shd w:fill="E0F7FA" w:val="clear"/>
            <w:tcMar>
              <w:top w:type="dxa" w:w="80"/>
              <w:left w:type="dxa" w:w="120"/>
              <w:bottom w:type="dxa" w:w="80"/>
              <w:right w:type="dxa" w:w="80"/>
            </w:tcMar>
          </w:tcPr>
          <w:p>
            <w:r>
              <w:rPr>
                <w:rFonts w:ascii="Times New Roman" w:cs="Times New Roman" w:eastAsia="Times New Roman" w:hAnsi="Times New Roman"/>
                <w:b/>
                <w:bCs/>
                <w:color w:val="006064"/>
                <w:sz w:val="22"/>
                <w:szCs w:val="22"/>
              </w:rPr>
              <w:t xml:space="preserve">Tahun Akademik</w:t>
            </w:r>
          </w:p>
        </w:tc>
        <w:tc>
          <w:tcPr>
            <w:tcW w:type="dxa" w:w="200"/>
            <w:tcBorders>
              <w:top w:val="single" w:color="AAAAAA" w:sz="6"/>
              <w:left w:val="single" w:color="AAAAAA" w:sz="6"/>
              <w:bottom w:val="single" w:color="AAAAAA" w:sz="6"/>
              <w:right w:val="single" w:color="AAAAAA" w:sz="6"/>
            </w:tcBorders>
            <w:shd w:fill="E0F7FA" w:val="clear"/>
            <w:tcMar>
              <w:top w:type="dxa" w:w="80"/>
              <w:left w:type="dxa" w:w="40"/>
              <w:bottom w:type="dxa" w:w="80"/>
              <w:right w:type="dxa" w:w="40"/>
            </w:tcMar>
          </w:tcPr>
          <w:p>
            <w:pPr>
              <w:jc w:val="center"/>
            </w:pPr>
            <w:r>
              <w:rPr>
                <w:rFonts w:ascii="Times New Roman" w:cs="Times New Roman" w:eastAsia="Times New Roman" w:hAnsi="Times New Roman"/>
                <w:b/>
                <w:bCs/>
                <w:color w:val="006064"/>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2025/2026 (Semester Genap)</w:t>
            </w:r>
          </w:p>
        </w:tc>
      </w:tr>
      <w:tr>
        <w:tc>
          <w:tcPr>
            <w:tcW w:type="dxa" w:w="2800"/>
            <w:tcBorders>
              <w:top w:val="single" w:color="AAAAAA" w:sz="6"/>
              <w:left w:val="single" w:color="AAAAAA" w:sz="6"/>
              <w:bottom w:val="single" w:color="AAAAAA" w:sz="6"/>
              <w:right w:val="single" w:color="AAAAAA" w:sz="6"/>
            </w:tcBorders>
            <w:shd w:fill="E0F7FA" w:val="clear"/>
            <w:tcMar>
              <w:top w:type="dxa" w:w="80"/>
              <w:left w:type="dxa" w:w="120"/>
              <w:bottom w:type="dxa" w:w="80"/>
              <w:right w:type="dxa" w:w="80"/>
            </w:tcMar>
          </w:tcPr>
          <w:p>
            <w:r>
              <w:rPr>
                <w:rFonts w:ascii="Times New Roman" w:cs="Times New Roman" w:eastAsia="Times New Roman" w:hAnsi="Times New Roman"/>
                <w:b/>
                <w:bCs/>
                <w:color w:val="006064"/>
                <w:sz w:val="22"/>
                <w:szCs w:val="22"/>
              </w:rPr>
              <w:t xml:space="preserve">Dasar Hukum</w:t>
            </w:r>
          </w:p>
        </w:tc>
        <w:tc>
          <w:tcPr>
            <w:tcW w:type="dxa" w:w="200"/>
            <w:tcBorders>
              <w:top w:val="single" w:color="AAAAAA" w:sz="6"/>
              <w:left w:val="single" w:color="AAAAAA" w:sz="6"/>
              <w:bottom w:val="single" w:color="AAAAAA" w:sz="6"/>
              <w:right w:val="single" w:color="AAAAAA" w:sz="6"/>
            </w:tcBorders>
            <w:shd w:fill="E0F7FA" w:val="clear"/>
            <w:tcMar>
              <w:top w:type="dxa" w:w="80"/>
              <w:left w:type="dxa" w:w="40"/>
              <w:bottom w:type="dxa" w:w="80"/>
              <w:right w:type="dxa" w:w="40"/>
            </w:tcMar>
          </w:tcPr>
          <w:p>
            <w:pPr>
              <w:jc w:val="center"/>
            </w:pPr>
            <w:r>
              <w:rPr>
                <w:rFonts w:ascii="Times New Roman" w:cs="Times New Roman" w:eastAsia="Times New Roman" w:hAnsi="Times New Roman"/>
                <w:b/>
                <w:bCs/>
                <w:color w:val="006064"/>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Permendikbud No. 3 Tahun 2020 (SN-DIKTI); UU No. 1 Tahun 2013 tentang LKM; Statuta STEI FI Pasal 16</w:t>
            </w:r>
          </w:p>
        </w:tc>
      </w:tr>
    </w:tbl>
    <w:p>
      <w:pPr>
        <w:spacing w:after="200" w:before="0"/>
      </w:pPr>
      <w:r>
        <w:t xml:space="preserve"/>
      </w:r>
    </w:p>
    <w:p>
      <w:pPr>
        <w:pBdr>
          <w:bottom w:val="single" w:color="006064" w:sz="8" w:space="4"/>
        </w:pBdr>
        <w:spacing w:after="120" w:before="300"/>
      </w:pPr>
      <w:r>
        <w:rPr>
          <w:rFonts w:ascii="Times New Roman" w:cs="Times New Roman" w:eastAsia="Times New Roman" w:hAnsi="Times New Roman"/>
          <w:b/>
          <w:bCs/>
          <w:caps/>
          <w:color w:val="006064"/>
          <w:sz w:val="28"/>
          <w:szCs w:val="28"/>
        </w:rPr>
        <w:t xml:space="preserve">B. DESKRIPSI MATA KULIAH</w:t>
      </w:r>
    </w:p>
    <w:p>
      <w:pPr>
        <w:spacing w:after="80" w:before="60"/>
        <w:jc w:val="both"/>
      </w:pPr>
      <w:r>
        <w:rPr>
          <w:rFonts w:ascii="Times New Roman" w:cs="Times New Roman" w:eastAsia="Times New Roman" w:hAnsi="Times New Roman"/>
          <w:color w:val="000000"/>
          <w:sz w:val="22"/>
          <w:szCs w:val="22"/>
        </w:rPr>
        <w:t xml:space="preserve">Mata kuliah Keuangan Mikro Islam merupakan Mata Kuliah Keahlian Inti (MKKI) berbobot 3 (tiga) SKS yang diselenggarakan pada Semester VI. Mata kuliah ini membahas secara komprehensif tentang sistem keuangan yang dirancang khusus untuk melayani segmen masyarakat yang paling rentan dan paling sering diabaikan oleh lembaga keuangan formal: usaha mikro dan masyarakat miskin Muslim. Ini bukan hanya tentang teknik pembiayaan, melainkan tentang keadilan ekonomi Islam dalam praktik nyata.</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Lima pilar pembelajaran dibangun secara terintegrasi: (1) Fondasi - konsep, sejarah, dan ekosistem keuangan mikro Islam di Indonesia; (2) Profil &amp; Akad - karakteristik usaha mikro Muslim dan pemilihan akad yang tepat (murabahah, mudharabah, musharakah, qardh hasan, salam, istishna'); (3) Lembaga - analisis BMT/KSPPS, BPRS, dan lembaga zakat produktif dari sisi kelembagaan dan kinerja; (4) Analisis Kelayakan - teknik 5C+S, analisis arus kas, hitungan angsuran dan nisbah bagi hasil, credit scoring usaha mikro; dan (5) Desain &amp; Inovasi - merancang produk KMI inovatif, fintech syariah untuk UMKM, dan menyusun proposal pendirian KSPPS baru.</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Perkuliahan intensif menggunakan data riil: statistik OJK LKMS 2024, data BAZNAS, laporan PBMT, dan kasus nyata BMT terkemuka. Setiap analisis selalu dihubungkan dengan konteks lokal Jawa Barat dan Kabupaten Bandung Barat sebagai laboratorium studi.</w:t>
      </w:r>
    </w:p>
    <w:p>
      <w:pPr>
        <w:spacing w:after="200" w:before="0"/>
      </w:pPr>
      <w:r>
        <w:t xml:space="preserve"/>
      </w:r>
    </w:p>
    <w:p>
      <w:pPr>
        <w:pBdr>
          <w:bottom w:val="single" w:color="006064" w:sz="8" w:space="4"/>
        </w:pBdr>
        <w:spacing w:after="120" w:before="300"/>
      </w:pPr>
      <w:r>
        <w:rPr>
          <w:rFonts w:ascii="Times New Roman" w:cs="Times New Roman" w:eastAsia="Times New Roman" w:hAnsi="Times New Roman"/>
          <w:b/>
          <w:bCs/>
          <w:caps/>
          <w:color w:val="006064"/>
          <w:sz w:val="28"/>
          <w:szCs w:val="28"/>
        </w:rPr>
        <w:t xml:space="preserve">C. POSISI DALAM KURIKULUM</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Aspek</w:t>
            </w:r>
          </w:p>
        </w:tc>
        <w:tc>
          <w:tcPr>
            <w:tcW w:type="dxa" w:w="62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Uraian</w:t>
            </w:r>
          </w:p>
        </w:tc>
      </w:tr>
      <w:tr>
        <w:tc>
          <w:tcPr>
            <w:tcW w:type="dxa" w:w="30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Posisi</w:t>
            </w:r>
          </w:p>
        </w:tc>
        <w:tc>
          <w:tcPr>
            <w:tcW w:type="dxa" w:w="62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Semester VI - MKKI Wajib; menerapkan teori ekonomi mikro Islam dan keuangan syariah pada segmen paling grassroots</w:t>
            </w:r>
          </w:p>
        </w:tc>
      </w:tr>
      <w:tr>
        <w:tc>
          <w:tcPr>
            <w:tcW w:type="dxa" w:w="3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Prasyarat</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Ekonomi Mikro Islam (Smt IV); Manajemen Keuangan Syariah (Smt IV)</w:t>
            </w:r>
          </w:p>
        </w:tc>
      </w:tr>
      <w:tr>
        <w:tc>
          <w:tcPr>
            <w:tcW w:type="dxa" w:w="30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Keterkaitan</w:t>
            </w:r>
          </w:p>
        </w:tc>
        <w:tc>
          <w:tcPr>
            <w:tcW w:type="dxa" w:w="62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Melengkapi Rekayasa Sosial Ekonomi Syariah (Smt VI) di sisi instrumen keuangan mikro formal</w:t>
            </w:r>
          </w:p>
        </w:tc>
      </w:tr>
      <w:tr>
        <w:tc>
          <w:tcPr>
            <w:tcW w:type="dxa" w:w="3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Feed Forward</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Skripsi: topik populer - efektivitas BMT, akses pembiayaan UMKM syariah, analisis NPF BPRS</w:t>
            </w:r>
          </w:p>
        </w:tc>
      </w:tr>
      <w:tr>
        <w:tc>
          <w:tcPr>
            <w:tcW w:type="dxa" w:w="30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Relevansi Karir</w:t>
            </w:r>
          </w:p>
        </w:tc>
        <w:tc>
          <w:tcPr>
            <w:tcW w:type="dxa" w:w="62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Account officer BPRS/BMT; analis kredit mikro syariah; pengelola program BAZNAS; wirausaha KSPPS; konsultan UMKM syariah</w:t>
            </w:r>
          </w:p>
        </w:tc>
      </w:tr>
    </w:tbl>
    <w:p>
      <w:pPr>
        <w:spacing w:after="200" w:before="0"/>
      </w:pPr>
      <w:r>
        <w:t xml:space="preserve"/>
      </w:r>
    </w:p>
    <w:p>
      <w:pPr>
        <w:pBdr>
          <w:bottom w:val="single" w:color="006064" w:sz="8" w:space="4"/>
        </w:pBdr>
        <w:spacing w:after="120" w:before="300"/>
      </w:pPr>
      <w:r>
        <w:rPr>
          <w:rFonts w:ascii="Times New Roman" w:cs="Times New Roman" w:eastAsia="Times New Roman" w:hAnsi="Times New Roman"/>
          <w:b/>
          <w:bCs/>
          <w:caps/>
          <w:color w:val="006064"/>
          <w:sz w:val="28"/>
          <w:szCs w:val="28"/>
        </w:rPr>
        <w:t xml:space="preserve">D. CPL DAN CPMK</w:t>
      </w:r>
    </w:p>
    <w:p>
      <w:pPr>
        <w:spacing w:after="80" w:before="200"/>
      </w:pPr>
      <w:r>
        <w:rPr>
          <w:rFonts w:ascii="Times New Roman" w:cs="Times New Roman" w:eastAsia="Times New Roman" w:hAnsi="Times New Roman"/>
          <w:b/>
          <w:bCs/>
          <w:color w:val="00838F"/>
          <w:sz w:val="24"/>
          <w:szCs w:val="24"/>
        </w:rPr>
        <w:t xml:space="preserve">D.1 CPL yang Dibebankan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600"/>
      </w:tblGrid>
      <w:tr>
        <w:tc>
          <w:tcPr>
            <w:tcW w:type="dxa" w:w="12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24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Ranah</w:t>
            </w:r>
          </w:p>
        </w:tc>
        <w:tc>
          <w:tcPr>
            <w:tcW w:type="dxa" w:w="56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S-6</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Sikap</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Berkomitmen pada inklusi keuangan sebagai kewajiban sosial Islam; berpihak pada kelompok mustahiq, dhuafa, dan UMKM yang belum terjangkau layanan keuangan formal; menginternalisasi prinsip keadilan distributif Islam dalam praktik keuangan mikro.</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P-14</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Pengetahuan</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Menguasai konsep, instrumen, regulasi, dan metodologi keuangan mikro Islam: teori inklusi keuangan berbasis maqashid, produk BMT/BPRS/KSPPS, pembiayaan UMKM syariah, analisis kelayakan usaha mikro, model Grameen Islam, dan evaluasi dampak program keuangan mikro.</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KU-3</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Umum</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menganalisis kebutuhan keuangan usaha mikro Muslim, mengevaluasi kelayakan pembiayaan menggunakan metode kuantitatif (analisis arus kas, BEP, payback period) dan kualitatif (5C+S syariah), serta merancang produk keuangan mikro yang sesuai kebutuhan komunitas.</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KK-10</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Khusus</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merancang produk dan program keuangan mikro Islam yang operasional: menentukan akad yang tepat (murabahah, mudharabah, musharakah, qardh hasan) untuk berbagai segmen usaha mikro, menghitung besaran pembiayaan dan nisbah bagi hasil, serta menyusun proposal pembentukan KSPPS/BMT baru.</w:t>
            </w:r>
          </w:p>
        </w:tc>
      </w:tr>
    </w:tbl>
    <w:p>
      <w:pPr>
        <w:spacing w:after="160" w:before="0"/>
      </w:pPr>
      <w:r>
        <w:t xml:space="preserve"/>
      </w:r>
    </w:p>
    <w:p>
      <w:pPr>
        <w:spacing w:after="80" w:before="200"/>
      </w:pPr>
      <w:r>
        <w:rPr>
          <w:rFonts w:ascii="Times New Roman" w:cs="Times New Roman" w:eastAsia="Times New Roman" w:hAnsi="Times New Roman"/>
          <w:b/>
          <w:bCs/>
          <w:color w:val="00838F"/>
          <w:sz w:val="24"/>
          <w:szCs w:val="24"/>
        </w:rPr>
        <w:t xml:space="preserve">D.2 Capaian Pembelajaran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200"/>
      </w:tblGrid>
      <w:tr>
        <w:tc>
          <w:tcPr>
            <w:tcW w:type="dxa" w:w="12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38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CPMK</w:t>
            </w:r>
          </w:p>
        </w:tc>
        <w:tc>
          <w:tcPr>
            <w:tcW w:type="dxa" w:w="42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CPMK-1</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menjelaskan konsep keuangan mikro Islam, sejarah perkembangannya, dan mengidentifikasi posisinya dalam ekosistem keuangan syariah Indonesia sebagai instrumen inklusi keuangan berbasis maqashid.</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S-6, P-14</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CPMK-2</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menganalisis karakteristik, kebutuhan, dan tantangan finansial usaha mikro Muslim serta mengidentifikasi produk keuangan mikro Islam yang paling sesuai untuk berbagai profil nasabah.</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P-14, KU-3</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CPMK-3</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menganalisis lembaga keuangan mikro Islam (BMT/KSPPS, BPRS, Lembaga Zakat Produktif) dari segi kelembagaan, produk, regulasi, dan kinerja keuangan.</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P-14, KU-3, KK-10</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CPMK-4</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melakukan analisis kelayakan pembiayaan usaha mikro syariah menggunakan pendekatan 5C+S (Character, Capacity, Capital, Condition, Collateral + Syariah), analisis arus kas, dan teknik scoring usaha mikro Islam.</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KU-3, KK-10</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CPMK-5</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merancang produk keuangan mikro Islam dan menyusun proposal pendirian atau pengembangan KSPPS/BMT berbasis komunitas Muslim.</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KK-10, S-6</w:t>
            </w:r>
          </w:p>
        </w:tc>
      </w:tr>
    </w:tbl>
    <w:p>
      <w:pPr>
        <w:spacing w:after="200" w:before="0"/>
      </w:pPr>
      <w:r>
        <w:t xml:space="preserve"/>
      </w:r>
    </w:p>
    <w:p>
      <w:pPr>
        <w:pBdr>
          <w:bottom w:val="single" w:color="006064" w:sz="8" w:space="4"/>
        </w:pBdr>
        <w:spacing w:after="120" w:before="300"/>
      </w:pPr>
      <w:r>
        <w:rPr>
          <w:rFonts w:ascii="Times New Roman" w:cs="Times New Roman" w:eastAsia="Times New Roman" w:hAnsi="Times New Roman"/>
          <w:b/>
          <w:bCs/>
          <w:caps/>
          <w:color w:val="006064"/>
          <w:sz w:val="28"/>
          <w:szCs w:val="28"/>
        </w:rPr>
        <w:t xml:space="preserve">E. PETA MATERI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00"/>
      </w:tblGrid>
      <w:tr>
        <w:tc>
          <w:tcPr>
            <w:tcW w:type="dxa" w:w="16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Blok</w:t>
            </w:r>
          </w:p>
        </w:tc>
        <w:tc>
          <w:tcPr>
            <w:tcW w:type="dxa" w:w="32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Tema</w:t>
            </w:r>
          </w:p>
        </w:tc>
        <w:tc>
          <w:tcPr>
            <w:tcW w:type="dxa" w:w="44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Pertemuan</w:t>
            </w:r>
          </w:p>
        </w:tc>
      </w:tr>
      <w:tr>
        <w:tc>
          <w:tcPr>
            <w:tcW w:type="dxa" w:w="16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
Fondasi
(Mg. 1-2)</w:t>
            </w:r>
          </w:p>
        </w:tc>
        <w:tc>
          <w:tcPr>
            <w:tcW w:type="dxa" w:w="32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Konsep, Sejarah &amp; Ekosistem KMI</w:t>
            </w:r>
          </w:p>
        </w:tc>
        <w:tc>
          <w:tcPr>
            <w:tcW w:type="dxa" w:w="44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 Pengantar KMI - urgensi inklusi keuangan
Mg.2: Sejarah perkembangan - BMT Sidogiri</w:t>
            </w:r>
          </w:p>
        </w:tc>
      </w:tr>
      <w:tr>
        <w:tc>
          <w:tcPr>
            <w:tcW w:type="dxa" w:w="16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II
Profil &amp; Akad
(Mg. 3-4)</w:t>
            </w:r>
          </w:p>
        </w:tc>
        <w:tc>
          <w:tcPr>
            <w:tcW w:type="dxa" w:w="32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Karakteristik Usaha Mikro &amp; Akad-Akad KMI</w:t>
            </w:r>
          </w:p>
        </w:tc>
        <w:tc>
          <w:tcPr>
            <w:tcW w:type="dxa" w:w="44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Mg.3: Profil usaha mikro Muslim &amp; hambatan
Mg.4: Akad-akad KMI &amp; pemilihan tepat</w:t>
            </w:r>
          </w:p>
        </w:tc>
      </w:tr>
      <w:tr>
        <w:tc>
          <w:tcPr>
            <w:tcW w:type="dxa" w:w="16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III
Lembaga KMI
(Mg. 5-7)</w:t>
            </w:r>
          </w:p>
        </w:tc>
        <w:tc>
          <w:tcPr>
            <w:tcW w:type="dxa" w:w="32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BMT/KSPPS, BPRS &amp; Zakat Produktif</w:t>
            </w:r>
          </w:p>
        </w:tc>
        <w:tc>
          <w:tcPr>
            <w:tcW w:type="dxa" w:w="44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Mg.5: BMT/KSPPS - analisis kinerja
Mg.6: BPRS - peran &amp; kinerja
Mg.7: Zakat produktif &amp; keuangan mikro sosial</w:t>
            </w:r>
          </w:p>
        </w:tc>
      </w:tr>
      <w:tr>
        <w:tc>
          <w:tcPr>
            <w:tcW w:type="dxa" w:w="16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IV
Analisis Kelayakan
(Mg. 9-11)</w:t>
            </w:r>
          </w:p>
        </w:tc>
        <w:tc>
          <w:tcPr>
            <w:tcW w:type="dxa" w:w="32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5C+S, Hitungan Pembiayaan &amp; Credit Scoring</w:t>
            </w:r>
          </w:p>
        </w:tc>
        <w:tc>
          <w:tcPr>
            <w:tcW w:type="dxa" w:w="44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Mg.9: 5C+S &amp; analisis arus kas usaha mikro
Mg.10: Hitungan angsuran &amp; nisbah bagi hasil
Mg.11: Credit scoring &amp; manajemen risiko mikro</w:t>
            </w:r>
          </w:p>
        </w:tc>
      </w:tr>
      <w:tr>
        <w:tc>
          <w:tcPr>
            <w:tcW w:type="dxa" w:w="16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V
Desain &amp; Proposal
(Mg. 12-15)</w:t>
            </w:r>
          </w:p>
        </w:tc>
        <w:tc>
          <w:tcPr>
            <w:tcW w:type="dxa" w:w="32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Desain Produk, Pendirian KSPPS &amp; Presentasi</w:t>
            </w:r>
          </w:p>
        </w:tc>
        <w:tc>
          <w:tcPr>
            <w:tcW w:type="dxa" w:w="44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Mg.12: Desain produk KMI inovatif
Mg.13: Proposal pendirian KSPPS
Mg.14: Sintesis &amp; finalisasi
Mg.15: Presentasi panel</w:t>
            </w:r>
          </w:p>
        </w:tc>
      </w:tr>
    </w:tbl>
    <w:p>
      <w:pPr>
        <w:spacing w:after="200" w:before="0"/>
      </w:pPr>
      <w:r>
        <w:t xml:space="preserve"/>
      </w:r>
    </w:p>
    <w:p>
      <w:pPr>
        <w:pBdr>
          <w:bottom w:val="single" w:color="006064" w:sz="8" w:space="4"/>
        </w:pBdr>
        <w:spacing w:after="120" w:before="300"/>
      </w:pPr>
      <w:r>
        <w:rPr>
          <w:rFonts w:ascii="Times New Roman" w:cs="Times New Roman" w:eastAsia="Times New Roman" w:hAnsi="Times New Roman"/>
          <w:b/>
          <w:bCs/>
          <w:caps/>
          <w:color w:val="006064"/>
          <w:sz w:val="28"/>
          <w:szCs w:val="28"/>
        </w:rPr>
        <w:t xml:space="preserve">F. MATRIKS 16 PERTEMUAN</w:t>
      </w:r>
    </w:p>
    <w:p>
      <w:pPr>
        <w:spacing w:after="80" w:before="60"/>
        <w:jc w:val="both"/>
      </w:pPr>
      <w:r>
        <w:rPr>
          <w:rFonts w:ascii="Times New Roman" w:cs="Times New Roman" w:eastAsia="Times New Roman" w:hAnsi="Times New Roman"/>
          <w:color w:val="000000"/>
          <w:sz w:val="22"/>
          <w:szCs w:val="22"/>
        </w:rPr>
        <w:t xml:space="preserve">3 SKS = 150 menit per pertemuan (2 SKS teori + 1 SKS praktikum terintegrasi). Mg.8 = UTS. Mg.15 = Presentasi. Mg.16 = UAS.</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400"/>
        <w:gridCol w:w="2700"/>
        <w:gridCol w:w="900"/>
        <w:gridCol w:w="500"/>
        <w:gridCol w:w="1500"/>
      </w:tblGrid>
      <w:tr>
        <w:tc>
          <w:tcPr>
            <w:tcW w:type="dxa" w:w="5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Mg</w:t>
            </w:r>
          </w:p>
        </w:tc>
        <w:tc>
          <w:tcPr>
            <w:tcW w:type="dxa" w:w="7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24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Sub-CPMK</w:t>
            </w:r>
          </w:p>
        </w:tc>
        <w:tc>
          <w:tcPr>
            <w:tcW w:type="dxa" w:w="27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Materi</w:t>
            </w:r>
          </w:p>
        </w:tc>
        <w:tc>
          <w:tcPr>
            <w:tcW w:type="dxa" w:w="9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Metode</w:t>
            </w:r>
          </w:p>
        </w:tc>
        <w:tc>
          <w:tcPr>
            <w:tcW w:type="dxa" w:w="5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Wkt</w:t>
            </w:r>
          </w:p>
        </w:tc>
        <w:tc>
          <w:tcPr>
            <w:tcW w:type="dxa" w:w="15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Penilaian</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menjelaskan pengertian keuangan mikro Islam dan mengidentifikasi urgensinya dalam konteks inklusi keuangan dan pemberdayaan UMKM Muslim.</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Pengantar Keuangan Mikro Islam: Definisi keuangan mikro; Keuangan mikro konvensional (Grameen Bank) vs Islam; Keuangan mikro Islam: bebas riba, berbasis akad, berorientasi maslahah; Data inklusi keuangan Indonesia: indeks inklusi 85% (OJK 2023) tapi akses UMKM masih rendah; Masalah keuangan usaha mikro Muslim: akses permodalan, agunan, literasi keuangan; Ekosistem keuangan mikro Islam Indonesia: BMT, BPRS, KSPPS, LAZ produktif, PNM Mekaar syariah; Regulasi: UU No. 1/2013 tentang LKM, POJK LKM.</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Diskusi; Analisis data OJK</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Kehadiran &amp; partisipasi</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menjelaskan sejarah keuangan mikro Islam dan menganalisis perkembangannya di Indonesia dalam konteks pemberdayaan ekonomi umat.</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Sejarah &amp; Perkembangan Keuangan Mikro Islam: Sejarah keuangan mikro Islam: Baitul Maal di era Rasulullah dan Khulafaur Rasyidin; Waqf sebagai proto-keuangan mikro; Grameen Bank (1983) dan lahirnya keuangan mikro modern; Pondok Pesantren Sidogiri mendirikan BMT (1997): kasus ikonik; Krisis 1997-1998 dan peran BMT dalam pemulihan UMKM; Data BMT Indonesia 2024: jumlah, aset, anggota; Perkembangan BPRS: dari 2 unit (1991) ke 175 unit (2024); KSPPS: koperasi simpan pinjam pembiayaan syariah; Tantangan masa depan: digitalisasi BMT.</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Timeline sejarah; Studi kasus BMT Sidogiri</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faktor keberhasilan BMT Sidogiri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karakteristik ekonomi dan keuangan usaha mikro Muslim serta mengidentifikasi hambatan aksesnya terhadap lembaga keuangan formal.</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Profil &amp; Karakteristik Usaha Mikro Muslim: Definisi dan klasifikasi: usaha mikro (omzet &lt;Rp 300jt/tahun per UU UMKM); Karakteristik usaha mikro Muslim: informal, cashflow irregular, agunan terbatas; Profil nasabah keuangan mikro: petani, pedagang, pengrajin, UMKM rumahan; Hambatan akses keuangan: no collateral, no financial records, information asymmetry; Kegagalan pasar dalam pembiayaan mikro: adverse selection dan moral hazard; Data UMKM Indonesia (Kemenkop 2024): kontribusi 60% PDB, 97% tenaga kerja; Potensi dan tantangan digitalisasi UMKM Muslim.</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data; Workshop profiling</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Profil nasabah KMI: studi kasus komunitas UMKM lokal</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mengidentifikasi dan menganalisis akad-akad yang digunakan dalam keuangan mikro Islam dan mengevaluasi kesesuaiannya untuk berbagai segmen usaha mikro.</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Akad-Akad Keuangan Mikro Islam: Murabahah: jual beli dengan margin; aplikasi untuk pembelian aset usaha; Mudharabah: bagi hasil; cocok untuk modal kerja produktif; Musharakah: kongsi modal; untuk usaha bersama; Ijarah: sewa; untuk pembiayaan aset produktif; Salam: jual beli dengan pembayaran di muka; cocok untuk petani; Istishna': pesanan produksi; untuk pengrajin; Qardh hasan: pinjaman tanpa margin; untuk kaum dhuafa; Hiwalah: pengalihan utang; Rahn: gadai syariah; Wakalah: perwakilan untuk kegiatan usaha; Pemilihan akad berdasarkan profil usaha.</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akad; Workshop pemilihan akad</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Latihan: memilih akad tepat untuk 5 profil usaha mikro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BMT/KSPPS sebagai lembaga keuangan mikro Islam grassroots dari segi kelembagaan, produk, dan kinerja.</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BMT &amp; KSPPS - Lembaga Keuangan Mikro Grassroots: Struktur kelembagaan BMT: baitul maal (sosial) + baitul tamwil (bisnis); KSPPS: koperasi simpan pinjam pembiayaan syariah - dasar hukum; Produk penghimpunan: tabungan wadiah, tabungan mudharabah, deposito; Produk pembiayaan: murabahah, mudharabah, musharakah, qardh hasan; Mekanisme rembug pusat: pembelajaran dari Grameen model; Analisis kinerja KSPPS: NPF, FDR, CAR mini, BOPO, ROA; Regulasi: POJK No. 61/2015 tentang LKMS; Praktikum: membaca dan menganalisis laporan keuangan BMT.</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LK BMT; Praktikum</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kinerja keuangan satu BMT/KSPPS: NPF, FDR, ROA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BPRS sebagai bank pembiayaan rakyat syariah dan mengevaluasi perannya dalam melayani segmen UMKM dan mikro.</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BPRS - Bank Pembiayaan Rakyat Syariah: Sejarah dan regulasi BPRS: UU Perbankan Syariah 2008; Perbedaan BPRS vs BUS/UUS: skala, segmen, wilayah; Produk BPRS: pendanaan (tabungan, deposito) dan pembiayaan (murabahah, mudharabah, musharakah, ijarah); Segmen nasabah BPRS: UMKM, petani, pedagang pasar; Data BPRS Indonesia 2024 (OJK): jumlah, aset, pembiayaan, NPF; Tantangan BPRS: persaingan dengan BPR konvensional, fintech; Kolaborasi BPRS-BMT dalam ekosistem keuangan mikro Islam; Studi kasus: BPRS terkemuka di Jawa Barat.</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data OJK; Studi kasus</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Perbandingan kinerja BPRS vs BPR konvensional 2020-2024</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lembaga zakat produktif dan program keuangan mikro sosial Islam sebagai instrumen komplementer keuangan mikro formal.</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Zakat Produktif &amp; Keuangan Mikro Sosial: Zakat produktif: mengubah zakat dari konsumtif ke produktif; Modal bergulir zakat (revolving fund): mekanisme dan tantangan; Program BAZNAS: Zakat Community Development, klaster usaha zakat; LAZISNU/LAZISMU dan program ekonomi umat; Qardh hasan sebagai pembiayaan tanpa biaya: praktik pesantren; Tanggung jawab sosial KSPPS/BMT: baitul maal yang aktif; Complementary model: integrasi zakat + keuangan mikro formal; Studi kasus: program ZCD BAZNAS yang berhasil mengentaskan kemiskinan.</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Studi kasus BAZNAS; Diskusi</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integrasi zakat produktif dan pembiayaan BPRS/BMT</w:t>
            </w:r>
          </w:p>
        </w:tc>
      </w:tr>
      <w:tr>
        <w:tc>
          <w:tcPr>
            <w:tcW w:type="dxa" w:w="5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8</w:t>
            </w:r>
          </w:p>
        </w:tc>
        <w:tc>
          <w:tcPr>
            <w:tcW w:type="dxa" w:w="7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CPMK-1,2,3</w:t>
            </w:r>
          </w:p>
        </w:tc>
        <w:tc>
          <w:tcPr>
            <w:tcW w:type="dxa" w:w="24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UJIAN TENGAH SEMESTER (UTS) - Mg.1-7.</w:t>
            </w:r>
          </w:p>
        </w:tc>
        <w:tc>
          <w:tcPr>
            <w:tcW w:type="dxa" w:w="27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Komprehensif: pengantar KMI, sejarah, profil usaha mikro Muslim, akad-akad KMI, BMT/KSPPS, BPRS, zakat produktif. Soal uraian + hitungan sederhana.</w:t>
            </w:r>
          </w:p>
        </w:tc>
        <w:tc>
          <w:tcPr>
            <w:tcW w:type="dxa" w:w="9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w:t>
            </w:r>
          </w:p>
        </w:tc>
        <w:tc>
          <w:tcPr>
            <w:tcW w:type="dxa" w:w="5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UTS: 25%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9</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melakukan analisis kelayakan usaha mikro Muslim menggunakan pendekatan 5C+S dan analisis arus kas sederhana.</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Kelayakan Pembiayaan Mikro I - 5C+S &amp; Arus Kas: 5C dalam pembiayaan: Character, Capacity, Capital, Condition, Collateral; +S (Syariah): usaha halal, akad sesuai, tidak spekulatif; Analisis Character: track record, referensi komunitas, riwayat pembayaran; Capacity: kemampuan usaha menghasilkan pendapatan; Capital: modal sendiri nasabah; Collateral: agunan yang tersedia (bisa reputasi komunitas); Condition: kondisi sektor usaha; Analisis arus kas sederhana usaha mikro: cash inflow vs cash outflow; Break Even Point (BEP) usaha mikro; Praktikum: analisis kelayakan 1 kasus usaha mikro.</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Praktikum analisis kelayakan; Workshop</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Praktikum: analisis kelayakan 2 kasus pembiayaan mikro syariah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menghitung besaran pembiayaan, angsuran, dan nisbah bagi hasil untuk berbagai produk keuangan mikro Islam.</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Kelayakan Pembiayaan Mikro II - Hitungan &amp; Pricing: Murabahah: menghitung harga jual, margin, angsuran; Flat rate vs anuitas dalam murabahah; Mudharabah: menentukan nisbah bagi hasil berdasarkan proyeksi pendapatan; Musharakah: menghitung porsi bagi hasil berdasarkan kontribusi modal; Ijarah: menghitung sewa periodik; Qardh hasan: tidak ada hitungan margin; Perbandingan efektif cost of fund: murabahah vs kredit konvensional; Plafon pembiayaan berdasarkan kemampuan bayar (debt service coverage ratio - DSCR); Simulasi: menghitung paket pembiayaan untuk warung sembako Muslim.</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Latihan hitungan intensif; Workshop</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Hitungan: paket pembiayaan untuk 3 jenis usaha mikro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melakukan credit scoring usaha mikro Islam dan menyusun rekomendasi pembiayaan.</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Credit Scoring &amp; Manajemen Risiko Pembiayaan Mikro: Credit scoring usaha mikro Islam: membangun scorecard sederhana; Variabel scoring: karakter (40%), kapasitas (30%), modal (15%), agunan (10%), syariah compliance (5%); NPF pencegahan: monitoring aktif, rembug pusat, pendampingan usaha; Manajemen risiko pembiayaan mikro: diversifikasi, agunan komunitas (group lending), asuransi jiwa pembiayaan (takaful); Restructuring: penjadwalan ulang vs penghapusan vs qardh hasan; Praktikum: menyusun credit memo pembiayaan usaha mikro.</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scoring; Praktikum credit memo</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Credit memo: 1 kasus pembiayaan usaha mikro lengkap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merancang produk keuangan mikro Islam yang inovatif dan sesuai kebutuhan segmen spesifik komunitas Muslim.</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Desain Produk Keuangan Mikro Islam: Prinsip desain produk: customer-centric, syariah-compliant, commercially viable; Segmentasi nasabah KMI: petani (salam), pedagang (murabahah), pengrajin (istishna'), jasa (ijarah), startup mikro (mudharabah); Digital keuangan mikro Islam: e-wallet syariah, peer-to-peer lending syariah, crowdfunding halal; Fintech syariah untuk UMKM: analisis OJK Fintech Syariah 2024; Social collateral: model rembug pusat dan liability kelompok; Produk inovatif: qardh hasan digital, zakat-linked financing, wakaf produktif untuk UMKM; Workshop: mendesain 1 produk KMI inovatif.</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product design; Diskusi</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Workshop: desain produk KMI inovatif untuk segmen spesifik</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menyusun kerangka proposal pendirian KSPPS/BMT baru berbasis komunitas Muslim.</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Pendirian &amp; Pengembangan KSPPS/BMT: Tahapan pendirian KSPPS: inisiasi komunitas, studi kelayakan, pengesahan notaris, izin OJK; Persyaratan modal minimum; Struktur organisasi KSPPS: Rapat Anggota, Pengurus, Pengawas Syariah, Manajer; Studi kelayakan pendirian BMT: analisis pasar, proyeksi keuangan, BEP; Manajemen SDM BMT: rekrutmen, pelatihan, standar kompetensi; Sistem teknologi informasi BMT: software accounting syariah; Pendanaan awal: iuran anggota, investasi dermawan, bantuan APEX; Praktikum: menyusun outline proposal pendirian KSPPS.</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kelayakan; Praktikum</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Draft proposal pendirian KSPPS komunitas Muslim</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14</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mengintegrasikan seluruh konsep KMI dalam analisis komprehensif dan menyempurnakan proposal akhir.</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Sintesis &amp; Finalisasi Proposal KMI: Review menyeluruh: dari analisis kebutuhan ke desain produk ke pendirian lembaga; Studi kasus komprehensif: menganalisis satu BMT/KSPPS sukses dan gagal; Finalisasi proposal kelompok: bisa berupa (1) proposal produk KMI baru, atau (2) proposal pendirian KSPPS baru, atau (3) proposal program keuangan mikro berbasis zakat; Coaching dosen per kelompok; Persiapan presentasi.</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Workshop finalisasi; Coaching; Review</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Proposal KMI final</w:t>
            </w:r>
          </w:p>
        </w:tc>
      </w:tr>
      <w:tr>
        <w:tc>
          <w:tcPr>
            <w:tcW w:type="dxa" w:w="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c>
          <w:tcPr>
            <w:tcW w:type="dxa" w:w="7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4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mempresentasikan analisis dan proposal keuangan mikro Islam secara komprehensif.</w:t>
            </w:r>
          </w:p>
        </w:tc>
        <w:tc>
          <w:tcPr>
            <w:tcW w:type="dxa" w:w="27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Presentasi Proposal KMI &amp; Review UAS: Setiap kelompok (3-4 mhs) mempresentasikan proposal KMI (10 mnt + 5 mnt QA): analisis kebutuhan, produk/lembaga yang dirancang, hitungan keuangan, target dampak inklusi, keberlanjutan. Panel: dosen. Peer assessment. Review seluruh materi menjelang UAS.</w:t>
            </w:r>
          </w:p>
        </w:tc>
        <w:tc>
          <w:tcPr>
            <w:tcW w:type="dxa" w:w="9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Presentasi panel; Peer review; Review UAS</w:t>
            </w:r>
          </w:p>
        </w:tc>
        <w:tc>
          <w:tcPr>
            <w:tcW w:type="dxa" w:w="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Presentasi proposal KMI (10%)</w:t>
            </w:r>
          </w:p>
        </w:tc>
      </w:tr>
      <w:tr>
        <w:tc>
          <w:tcPr>
            <w:tcW w:type="dxa" w:w="5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16</w:t>
            </w:r>
          </w:p>
        </w:tc>
        <w:tc>
          <w:tcPr>
            <w:tcW w:type="dxa" w:w="7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4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UJIAN AKHIR SEMESTER (UAS) - komprehensif.</w:t>
            </w:r>
          </w:p>
        </w:tc>
        <w:tc>
          <w:tcPr>
            <w:tcW w:type="dxa" w:w="27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Seluruh materi: KMI pengantar, akad, BMT/BPRS, zakat produktif, analisis kelayakan 5C+S, hitungan pembiayaan, credit scoring, desain produk, pendirian KSPPS. Soal hitungan (50%) + analisis kasus (50%).</w:t>
            </w:r>
          </w:p>
        </w:tc>
        <w:tc>
          <w:tcPr>
            <w:tcW w:type="dxa" w:w="9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 komprehensif</w:t>
            </w:r>
          </w:p>
        </w:tc>
        <w:tc>
          <w:tcPr>
            <w:tcW w:type="dxa" w:w="5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3E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UAS: 25%</w:t>
            </w:r>
          </w:p>
        </w:tc>
      </w:tr>
    </w:tbl>
    <w:p>
      <w:pPr>
        <w:spacing w:after="200" w:before="0"/>
      </w:pPr>
      <w:r>
        <w:t xml:space="preserve"/>
      </w:r>
    </w:p>
    <w:p>
      <w:pPr>
        <w:pBdr>
          <w:bottom w:val="single" w:color="006064" w:sz="8" w:space="4"/>
        </w:pBdr>
        <w:spacing w:after="120" w:before="300"/>
      </w:pPr>
      <w:r>
        <w:rPr>
          <w:rFonts w:ascii="Times New Roman" w:cs="Times New Roman" w:eastAsia="Times New Roman" w:hAnsi="Times New Roman"/>
          <w:b/>
          <w:bCs/>
          <w:caps/>
          <w:color w:val="006064"/>
          <w:sz w:val="28"/>
          <w:szCs w:val="28"/>
        </w:rPr>
        <w:t xml:space="preserve">G. SISTEM EVALUASI</w:t>
      </w:r>
    </w:p>
    <w:p>
      <w:pPr>
        <w:spacing w:after="80" w:before="200"/>
      </w:pPr>
      <w:r>
        <w:rPr>
          <w:rFonts w:ascii="Times New Roman" w:cs="Times New Roman" w:eastAsia="Times New Roman" w:hAnsi="Times New Roman"/>
          <w:b/>
          <w:bCs/>
          <w:color w:val="00838F"/>
          <w:sz w:val="24"/>
          <w:szCs w:val="24"/>
        </w:rPr>
        <w:t xml:space="preserve">G.1 Komponen Penilaian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gridCol w:w="1600"/>
      </w:tblGrid>
      <w:tr>
        <w:tc>
          <w:tcPr>
            <w:tcW w:type="dxa" w:w="18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Komponen</w:t>
            </w:r>
          </w:p>
        </w:tc>
        <w:tc>
          <w:tcPr>
            <w:tcW w:type="dxa" w:w="40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Deskripsi</w:t>
            </w:r>
          </w:p>
        </w:tc>
        <w:tc>
          <w:tcPr>
            <w:tcW w:type="dxa" w:w="18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16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Bobot</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Kehadiran &amp; Partisipasi</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Presensi min. 75%. Aktif dalam diskusi, praktikum analisis kelayakan, workshop, dan presentasi.</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Tugas &amp; Praktikum (6 sesi)</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 Faktor keberhasilan BMT Sidogiri; (2) Pemilihan akad untuk 5 profil usaha; (3) Kinerja BMT/KSPPS (NPF, FDR, ROA); (4) Analisis kelayakan 2 kasus; (5) Hitungan paket pembiayaan 3 jenis usaha; (6) Credit memo 1 kasus lengkap.</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1,2,3,4</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Proposal &amp; Presentasi (Kelompok)</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Proposal KMI komprehensif + presentasi Mg.15: analisis kebutuhan, produk/lembaga, hitungan keuangan, dampak inklusi, keberlanjutan.</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4,5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UTS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Ujian tulis 90 mnt: uraian + hitungan sederhana. Materi Mg.1-7.</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1,2,3</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UAS</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Ujian tulis 90 mnt: hitungan (50%) + analisis kasus KMI (50%).</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TOTAL</w:t>
            </w:r>
          </w:p>
        </w:tc>
        <w:tc>
          <w:tcPr>
            <w:tcW w:type="dxa" w:w="40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w:r>
          </w:p>
        </w:tc>
        <w:tc>
          <w:tcPr>
            <w:tcW w:type="dxa" w:w="18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100%</w:t>
            </w:r>
          </w:p>
        </w:tc>
      </w:tr>
    </w:tbl>
    <w:p>
      <w:pPr>
        <w:spacing w:after="160" w:before="0"/>
      </w:pPr>
      <w:r>
        <w:t xml:space="preserve"/>
      </w:r>
    </w:p>
    <w:p>
      <w:pPr>
        <w:spacing w:after="80" w:before="200"/>
      </w:pPr>
      <w:r>
        <w:rPr>
          <w:rFonts w:ascii="Times New Roman" w:cs="Times New Roman" w:eastAsia="Times New Roman" w:hAnsi="Times New Roman"/>
          <w:b/>
          <w:bCs/>
          <w:color w:val="00838F"/>
          <w:sz w:val="24"/>
          <w:szCs w:val="24"/>
        </w:rPr>
        <w:t xml:space="preserve">G.2 Ketentuan Akademik</w:t>
      </w:r>
    </w:p>
    <w:p>
      <w:pPr>
        <w:pStyle w:val="ListParagraph"/>
        <w:numPr>
          <w:ilvl w:val="0"/>
          <w:numId w:val="2"/>
        </w:numPr>
        <w:spacing w:after="40" w:before="40"/>
      </w:pPr>
      <w:r>
        <w:rPr>
          <w:rFonts w:ascii="Times New Roman" w:cs="Times New Roman" w:eastAsia="Times New Roman" w:hAnsi="Times New Roman"/>
          <w:sz w:val="22"/>
          <w:szCs w:val="22"/>
        </w:rPr>
        <w:t xml:space="preserve">Nilai akhir minimal C (55) untuk lulus.</w:t>
      </w:r>
    </w:p>
    <w:p>
      <w:pPr>
        <w:pStyle w:val="ListParagraph"/>
        <w:numPr>
          <w:ilvl w:val="0"/>
          <w:numId w:val="2"/>
        </w:numPr>
        <w:spacing w:after="40" w:before="40"/>
      </w:pPr>
      <w:r>
        <w:rPr>
          <w:rFonts w:ascii="Times New Roman" w:cs="Times New Roman" w:eastAsia="Times New Roman" w:hAnsi="Times New Roman"/>
          <w:sz w:val="22"/>
          <w:szCs w:val="22"/>
        </w:rPr>
        <w:t xml:space="preserve">Kehadiran minimal 75%.</w:t>
      </w:r>
    </w:p>
    <w:p>
      <w:pPr>
        <w:pStyle w:val="ListParagraph"/>
        <w:numPr>
          <w:ilvl w:val="0"/>
          <w:numId w:val="2"/>
        </w:numPr>
        <w:spacing w:after="40" w:before="40"/>
      </w:pPr>
      <w:r>
        <w:rPr>
          <w:rFonts w:ascii="Times New Roman" w:cs="Times New Roman" w:eastAsia="Times New Roman" w:hAnsi="Times New Roman"/>
          <w:sz w:val="22"/>
          <w:szCs w:val="22"/>
        </w:rPr>
        <w:t xml:space="preserve">Tugas hitungan wajib menampilkan seluruh langkah; hanya jawaban akhir tidak diterima.</w:t>
      </w:r>
    </w:p>
    <w:p>
      <w:pPr>
        <w:pStyle w:val="ListParagraph"/>
        <w:numPr>
          <w:ilvl w:val="0"/>
          <w:numId w:val="2"/>
        </w:numPr>
        <w:spacing w:after="40" w:before="40"/>
      </w:pPr>
      <w:r>
        <w:rPr>
          <w:rFonts w:ascii="Times New Roman" w:cs="Times New Roman" w:eastAsia="Times New Roman" w:hAnsi="Times New Roman"/>
          <w:sz w:val="22"/>
          <w:szCs w:val="22"/>
        </w:rPr>
        <w:t xml:space="preserve">Data yang digunakan harus bersumber dari laporan resmi OJK, PBMT, BAZNAS, atau data lapangan.</w:t>
      </w:r>
    </w:p>
    <w:p>
      <w:pPr>
        <w:pStyle w:val="ListParagraph"/>
        <w:numPr>
          <w:ilvl w:val="0"/>
          <w:numId w:val="2"/>
        </w:numPr>
        <w:spacing w:after="40" w:before="40"/>
      </w:pPr>
      <w:r>
        <w:rPr>
          <w:rFonts w:ascii="Times New Roman" w:cs="Times New Roman" w:eastAsia="Times New Roman" w:hAnsi="Times New Roman"/>
          <w:sz w:val="22"/>
          <w:szCs w:val="22"/>
        </w:rPr>
        <w:t xml:space="preserve">Plagiarisme mengakibatkan nilai 0.</w:t>
      </w:r>
    </w:p>
    <w:p>
      <w:pPr>
        <w:spacing w:after="200" w:before="0"/>
      </w:pPr>
      <w:r>
        <w:t xml:space="preserve"/>
      </w:r>
    </w:p>
    <w:p>
      <w:pPr>
        <w:pBdr>
          <w:bottom w:val="single" w:color="006064" w:sz="8" w:space="4"/>
        </w:pBdr>
        <w:spacing w:after="120" w:before="300"/>
      </w:pPr>
      <w:r>
        <w:rPr>
          <w:rFonts w:ascii="Times New Roman" w:cs="Times New Roman" w:eastAsia="Times New Roman" w:hAnsi="Times New Roman"/>
          <w:b/>
          <w:bCs/>
          <w:caps/>
          <w:color w:val="006064"/>
          <w:sz w:val="28"/>
          <w:szCs w:val="28"/>
        </w:rPr>
        <w:t xml:space="preserve">H. REFERENSI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Jenis</w:t>
            </w:r>
          </w:p>
        </w:tc>
        <w:tc>
          <w:tcPr>
            <w:tcW w:type="dxa" w:w="7700"/>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Referensi (APA 7th Edition)</w:t>
            </w:r>
          </w:p>
        </w:tc>
      </w:tr>
      <w:tr>
        <w:tc>
          <w:tcPr>
            <w:tcW w:type="dxa" w:w="1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Ledgerwood, J. (1999). Microfinance Handbook: An Institutional and Financial Perspective. The World Bank.</w:t>
            </w:r>
          </w:p>
        </w:tc>
      </w:tr>
      <w:tr>
        <w:tc>
          <w:tcPr>
            <w:tcW w:type="dxa" w:w="1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Ahmed, H. (2002). Financing Microenterprises: An Analytical Study of Islamic Microfinance Institutions. Islamic Economic Studies, 9(2), 27-64.</w:t>
            </w:r>
          </w:p>
        </w:tc>
      </w:tr>
      <w:tr>
        <w:tc>
          <w:tcPr>
            <w:tcW w:type="dxa" w:w="1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Obaidullah, M. (2008). Role of Microfinance in Poverty Alleviation: Lessons from Asian and Middle Eastern Countries. IRTI-IDB.</w:t>
            </w:r>
          </w:p>
        </w:tc>
      </w:tr>
      <w:tr>
        <w:tc>
          <w:tcPr>
            <w:tcW w:type="dxa" w:w="1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Antonio, M. S. (2001). Bank Syariah: Dari Teori ke Praktik. Gema Insani Press.</w:t>
            </w:r>
          </w:p>
        </w:tc>
      </w:tr>
      <w:tr>
        <w:tc>
          <w:tcPr>
            <w:tcW w:type="dxa" w:w="1500"/>
            <w:gridSpan w:val="1"/>
            <w:tcBorders>
              <w:top w:val="single" w:color="AAAAAA" w:sz="6"/>
              <w:left w:val="single" w:color="AAAAAA" w:sz="6"/>
              <w:bottom w:val="single" w:color="AAAAAA" w:sz="6"/>
              <w:right w:val="single" w:color="AAAAAA" w:sz="6"/>
            </w:tcBorders>
            <w:shd w:fill="E0F7FA"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OJK. (2024). Statistik Lembaga Keuangan Mikro Syariah 2023. OJK.</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Yunus, M. (2003). Banker to the Poor: Micro-Lending and the Battle Against World Poverty. PublicAffairs.</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Beik, I. S. (2016). Keuangan Mikro Islam. Rajawali Pers.</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PBMT Indonesia. (2024). Data dan Direktori BMT Indonesia 2023. PBMT.</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Data</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BAZNAS. (2024). Outlook Zakat Indonesia 2024. Pusat Kajian Strategis BAZNAS.</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Data</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Kemenkop UKM RI. (2024). Data UMKM Indonesia 2023. Kemenkop UKM.</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Jurnal</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International Journal of Islamic Microfinance. ISRA.</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Jurnal</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Jurnal Ekonomi Islam (JEI). STEI Hamfara. Sinta 3.</w:t>
            </w:r>
          </w:p>
        </w:tc>
      </w:tr>
    </w:tbl>
    <w:p>
      <w:pPr>
        <w:spacing w:after="200" w:before="0"/>
      </w:pPr>
      <w:r>
        <w:t xml:space="preserve"/>
      </w:r>
    </w:p>
    <w:p>
      <w:pPr>
        <w:pBdr>
          <w:bottom w:val="single" w:color="006064" w:sz="8" w:space="4"/>
        </w:pBdr>
        <w:spacing w:after="120" w:before="300"/>
      </w:pPr>
      <w:r>
        <w:rPr>
          <w:rFonts w:ascii="Times New Roman" w:cs="Times New Roman" w:eastAsia="Times New Roman" w:hAnsi="Times New Roman"/>
          <w:b/>
          <w:bCs/>
          <w:caps/>
          <w:color w:val="006064"/>
          <w:sz w:val="28"/>
          <w:szCs w:val="28"/>
        </w:rPr>
        <w:t xml:space="preserve">I. LEMBAR PENGESAHAN</w:t>
      </w:r>
    </w:p>
    <w:p>
      <w:pPr>
        <w:spacing w:after="80" w:before="0"/>
      </w:pPr>
      <w:r>
        <w:t xml:space="preserve"/>
      </w:r>
    </w:p>
    <w:p>
      <w:pPr>
        <w:spacing w:after="80" w:before="60"/>
        <w:jc w:val="both"/>
      </w:pPr>
      <w:r>
        <w:rPr>
          <w:rFonts w:ascii="Times New Roman" w:cs="Times New Roman" w:eastAsia="Times New Roman" w:hAnsi="Times New Roman"/>
          <w:color w:val="000000"/>
          <w:sz w:val="22"/>
          <w:szCs w:val="22"/>
        </w:rPr>
        <w:t xml:space="preserve">RPS ini disahkan untuk diberlakukan pada Semester VI Tahun Akademik 2025/2026 di STEI Fitrah Insani.</w:t>
      </w:r>
    </w:p>
    <w:p>
      <w:pPr>
        <w:spacing w:after="100" w:before="80"/>
        <w:jc w:val="right"/>
      </w:pPr>
      <w:r>
        <w:rPr>
          <w:rFonts w:ascii="Times New Roman" w:cs="Times New Roman" w:eastAsia="Times New Roman" w:hAnsi="Times New Roman"/>
          <w:sz w:val="22"/>
          <w:szCs w:val="22"/>
        </w:rPr>
        <w:t xml:space="preserve">Bandung Barat, Januari 2026</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Disusun oleh</w:t>
            </w:r>
          </w:p>
        </w:tc>
        <w:tc>
          <w:tcPr>
            <w:tcW w:type="dxa" w:w="3067"/>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Diperiksa oleh</w:t>
            </w:r>
          </w:p>
        </w:tc>
        <w:tc>
          <w:tcPr>
            <w:tcW w:type="dxa" w:w="3067"/>
            <w:gridSpan w:val="1"/>
            <w:tcBorders>
              <w:top w:val="single" w:color="AAAAAA" w:sz="6"/>
              <w:left w:val="single" w:color="AAAAAA" w:sz="6"/>
              <w:bottom w:val="single" w:color="AAAAAA" w:sz="6"/>
              <w:right w:val="single" w:color="AAAAAA" w:sz="6"/>
            </w:tcBorders>
            <w:shd w:fill="006064"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Disahkan oleh</w:t>
            </w:r>
          </w:p>
        </w:tc>
      </w:tr>
      <w:tr>
        <w:tc>
          <w:tcPr>
            <w:tcW w:type="dxa" w:w="3066"/>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Dosen Pengampu</w:t>
            </w:r>
          </w:p>
          <w:p>
            <w:pPr>
              <w:spacing w:after="400" w:before="0"/>
            </w:pPr>
            <w:r>
              <w:rPr>
                <w:sz w:val="22"/>
                <w:szCs w:val="22"/>
              </w:rPr>
              <w:t xml:space="preserve"/>
            </w:r>
          </w:p>
          <w:p>
            <w:pPr>
              <w:spacing w:after="40" w:before="0"/>
            </w:pPr>
            <w:r>
              <w:rPr>
                <w:rFonts w:ascii="Times New Roman" w:cs="Times New Roman" w:eastAsia="Times New Roman" w:hAnsi="Times New Roman"/>
                <w:b/>
                <w:bCs/>
                <w:color w:val="006064"/>
                <w:sz w:val="22"/>
                <w:szCs w:val="22"/>
              </w:rPr>
              <w:t xml:space="preserve">Ganjar Santika, S.E.I., M.E.</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Ketua Program Studi</w:t>
            </w:r>
          </w:p>
          <w:p>
            <w:pPr>
              <w:spacing w:after="400" w:before="0"/>
            </w:pPr>
            <w:r>
              <w:rPr>
                <w:sz w:val="22"/>
                <w:szCs w:val="22"/>
              </w:rPr>
              <w:t xml:space="preserve"/>
            </w:r>
          </w:p>
          <w:p>
            <w:pPr>
              <w:spacing w:after="40" w:before="0"/>
            </w:pPr>
            <w:r>
              <w:rPr>
                <w:rFonts w:ascii="Times New Roman" w:cs="Times New Roman" w:eastAsia="Times New Roman" w:hAnsi="Times New Roman"/>
                <w:b/>
                <w:bCs/>
                <w:color w:val="006064"/>
                <w:sz w:val="22"/>
                <w:szCs w:val="22"/>
              </w:rPr>
              <w:t xml:space="preserve">Nila Nopianti, S.E.Sy., M.E.</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Wakil Ketua I Bidang Akademik</w:t>
            </w:r>
          </w:p>
          <w:p>
            <w:pPr>
              <w:spacing w:after="400" w:before="0"/>
            </w:pPr>
            <w:r>
              <w:rPr>
                <w:sz w:val="22"/>
                <w:szCs w:val="22"/>
              </w:rPr>
              <w:t xml:space="preserve"/>
            </w:r>
          </w:p>
          <w:p>
            <w:pPr>
              <w:spacing w:after="40" w:before="0"/>
            </w:pPr>
            <w:r>
              <w:rPr>
                <w:rFonts w:ascii="Times New Roman" w:cs="Times New Roman" w:eastAsia="Times New Roman" w:hAnsi="Times New Roman"/>
                <w:b/>
                <w:bCs/>
                <w:color w:val="006064"/>
                <w:sz w:val="22"/>
                <w:szCs w:val="22"/>
              </w:rPr>
              <w:t xml:space="preserve">Izzuddin Edi Siswanto, Lc., M.A.</w:t>
            </w:r>
          </w:p>
          <w:p>
            <w:r>
              <w:rPr>
                <w:rFonts w:ascii="Times New Roman" w:cs="Times New Roman" w:eastAsia="Times New Roman" w:hAnsi="Times New Roman"/>
                <w:sz w:val="20"/>
                <w:szCs w:val="20"/>
              </w:rPr>
              <w:t xml:space="preserve">NIDN: _______________</w:t>
            </w:r>
          </w:p>
        </w:tc>
      </w:tr>
    </w:tbl>
    <w:p>
      <w:pPr>
        <w:spacing w:after="200" w:before="0"/>
      </w:pPr>
      <w:r>
        <w:t xml:space="preserve"/>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064" w:sz="4" w:space="4"/>
      </w:pBdr>
      <w:spacing w:after="0" w:before="60"/>
      <w:jc w:val="center"/>
    </w:pPr>
    <w:r>
      <w:rPr>
        <w:rFonts w:ascii="Times New Roman" w:cs="Times New Roman" w:eastAsia="Times New Roman" w:hAnsi="Times New Roman"/>
        <w:color w:val="555555"/>
        <w:sz w:val="18"/>
        <w:szCs w:val="18"/>
      </w:rPr>
      <w:t xml:space="preserve">Halaman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dari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64" w:sz="6" w:space="4"/>
      </w:pBdr>
      <w:spacing w:after="60" w:before="0"/>
      <w:jc w:val="right"/>
    </w:pPr>
    <w:r>
      <w:rPr>
        <w:rFonts w:ascii="Times New Roman" w:cs="Times New Roman" w:eastAsia="Times New Roman" w:hAnsi="Times New Roman"/>
        <w:color w:val="00838F"/>
        <w:sz w:val="18"/>
        <w:szCs w:val="18"/>
      </w:rPr>
      <w:t xml:space="preserve">RPS | Keuangan Mikro Islam | MKI11104/12104 | STEI Fitrah Insani | TA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2026-06-08T07:16:01.767Z</dcterms:created>
  <dcterms:modified xsi:type="dcterms:W3CDTF">2026-06-08T07:16:01.767Z</dcterms:modified>
</cp:coreProperties>
</file>

<file path=docProps/custom.xml><?xml version="1.0" encoding="utf-8"?>
<Properties xmlns="http://schemas.openxmlformats.org/officeDocument/2006/custom-properties" xmlns:vt="http://schemas.openxmlformats.org/officeDocument/2006/docPropsVTypes"/>
</file>