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TUGAS POKOK DAN FUNGSI WAKIL KETUA III</w:t>
      </w:r>
    </w:p>
    <w:p>
      <w:pPr>
        <w:pStyle w:val="Heading1"/>
      </w:pPr>
      <w:r>
        <w:t>Bidang Kemahasiswaan, Alumni, dan Kerjasama</w:t>
      </w:r>
    </w:p>
    <w:p>
      <w:r>
        <w:t>STEI Fitrah Insani – Revisi Struktur 2026</w:t>
      </w:r>
    </w:p>
    <w:p>
      <w:r>
        <w:t>Tidak ada perubahan struktur pada WK III. Tetap membawahi Kemahasiswaan (BEM, HMPS, UKM), Alumni &amp; Tracer Study, dan Kerjasama.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