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TUGAS POKOK DAN FUNGSI WAKIL KETUA II</w:t>
      </w:r>
    </w:p>
    <w:p>
      <w:pPr>
        <w:pStyle w:val="Heading1"/>
      </w:pPr>
      <w:r>
        <w:t>Bidang Keuangan, Administrasi Umum, dan SDM</w:t>
      </w:r>
    </w:p>
    <w:p>
      <w:r>
        <w:t>STEI Fitrah Insani – Revisi Struktur 2026</w:t>
      </w:r>
    </w:p>
    <w:p>
      <w:pPr>
        <w:pStyle w:val="Heading2"/>
      </w:pPr>
      <w:r>
        <w:t>Unit yang Dikelola</w:t>
      </w:r>
    </w:p>
    <w:p>
      <w:pPr>
        <w:pStyle w:val="ListBullet"/>
      </w:pPr>
      <w:r>
        <w:t>1. Tata Usaha – Admin Keuangan</w:t>
      </w:r>
    </w:p>
    <w:p>
      <w:pPr>
        <w:pStyle w:val="ListBullet"/>
      </w:pPr>
      <w:r>
        <w:t>2. Tata Usaha – Admin Umum</w:t>
      </w:r>
    </w:p>
    <w:p>
      <w:pPr>
        <w:pStyle w:val="ListBullet"/>
      </w:pPr>
      <w:r>
        <w:t>3. Bagian SDM &amp; Kepegawaian</w:t>
      </w:r>
    </w:p>
    <w:p>
      <w:pPr>
        <w:pStyle w:val="ListBullet"/>
      </w:pPr>
      <w:r>
        <w:t>4. Bagian Sarana &amp; Prasarana</w:t>
      </w:r>
    </w:p>
    <w:p>
      <w:pPr>
        <w:pStyle w:val="ListBullet"/>
      </w:pPr>
      <w:r>
        <w:t>5. UPT Perpustakaan (pindahan dari WK I)</w:t>
      </w:r>
    </w:p>
    <w:p>
      <w:pPr>
        <w:pStyle w:val="ListBullet"/>
      </w:pPr>
      <w:r>
        <w:t>6. UPT Komputer &amp; Teknologi Informasi (pindahan dari WK I)</w:t>
      </w:r>
    </w:p>
    <w:p>
      <w:pPr>
        <w:pStyle w:val="Heading2"/>
      </w:pPr>
      <w:r>
        <w:t>Tugas Pokok</w:t>
      </w:r>
    </w:p>
    <w:p>
      <w:r>
        <w:t>Mengelola keuangan, administrasi umum, SDM, sarpras, serta layanan penunjang akademik (perpustakaan dan TI) untuk mendukung tridarma.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