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KALENDER AKADEMIK PRODI</w:t>
      </w:r>
    </w:p>
    <w:p>
      <w:pPr>
        <w:spacing w:after="160"/>
        <w:jc w:val="center"/>
      </w:pPr>
      <w:r>
        <w:rPr>
          <w:color w:val="555555"/>
          <w:sz w:val="18"/>
        </w:rPr>
        <w:t>Kode: F-PRODI-13-08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berdasarkan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Kalender Akademik STEI FI yang ditetapkan Ketua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SEMESTER GANJIL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perkuliahan semester ganjil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Pengisian KRS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penyerahan RPS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UTS Semester Ganjil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input nilai UTS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UAS Semester Ganjil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Batas input nilai UAS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Yudisium Semester Ganjil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0D47A1"/>
          <w:sz w:val="22"/>
        </w:rPr>
        <w:t>SEMESTER GENAP TA _____/_____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9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Awal perkuliahan semester genap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Pengisian KRS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UTS Semester Genap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UAS Semester Genap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39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Yudisium Semester Genap</w:t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Wisuda</w:t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F-PRODI-13-08  |  Program Studi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F-PRODI-13-08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