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PENGABDIAN KEPADA MASYARAKAT (PKM)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F-LPPM-04-01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atas usul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MISI PKM STEI FITRAH INSANI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PKM STEI Fitrah Insani diarahkan untuk berkontribusi nyata pada penguatan ekonomi umat, pemberdayaan UMKM syariah, peningkatan literasi keuangan Islam, dan penguatan tata kelola lembaga keuangan di masyarakat.</w:t>
      </w:r>
    </w:p>
    <w:p>
      <w:pPr>
        <w:spacing w:before="120" w:after="60"/>
      </w:pPr>
      <w:r>
        <w:rPr>
          <w:b/>
          <w:color w:val="1B5E20"/>
          <w:sz w:val="22"/>
        </w:rPr>
        <w:t>B. TEMA PRIORITAS PKM SESUAI 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Tema Prioritas PKM</w:t>
            </w:r>
          </w:p>
        </w:tc>
        <w:tc>
          <w:tcPr>
            <w:tcW w:type="dxa" w:w="612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Sasaran Masyarakat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dan pemberdayaan UMKM berbasis syariah</w:t>
            </w:r>
          </w:p>
        </w:tc>
        <w:tc>
          <w:tcPr>
            <w:tcW w:type="dxa" w:w="612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Pelaku UMKM lokal di sekitar kampus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Literasi keuangan Islam dan perbankan syariah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Masyarakat umum, pelajar, pesantren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pengelolaan zakat, infak, sedekah (ZIS) komunitas</w:t>
            </w:r>
          </w:p>
        </w:tc>
        <w:tc>
          <w:tcPr>
            <w:tcW w:type="dxa" w:w="612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Amil zakat, masjid, pesantren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manajemen koperasi syariah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Pengurus koperasi, BMT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Edukasi halal awareness dan sertifikasi halal UMKM</w:t>
            </w:r>
          </w:p>
        </w:tc>
        <w:tc>
          <w:tcPr>
            <w:tcW w:type="dxa" w:w="612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Pelaku usaha kuliner dan produk halal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wakaf produktif di masyarakat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Nazir wakaf, yayasan, masjid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MEKANISME DAN KETENTUAN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internal didanai STEI FI melalui LPPM; setiap dosen tetap wajib melaksanakan min. 1 PKM per TA.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pelaksana adalah dosen tetap ber-NIDN; boleh melibatkan mahasiswa sebagai anggota tim.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minimal berdurasi 3 bulan; dilaksanakan di wilayah Kab. Bandung Barat atau wilayah mitra.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wajib PKM: (1) Laporan akhir PKM; (2) Artikel prosiding atau jurnal pengabdian masyarakat.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eksternal (hibah Kemdikbud/Kemenag) difasilitasi LPPM; wajib melaporkan hasilnya ke LPPM.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D. KATEGORI DAN BESARAN DANA PKM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Maksimum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Reguler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individual / tim kecil; topik bebas sesuai tema prioritas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3–6 bulan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Tematik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terstruktur sesuai program prioritas LPPM/institusi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6–12 bulan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Kemitraan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bersama mitra industri / pemda / pesantren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6–12 bulan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