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KINERJA TAHUNAN LPPM — KOMPREHENSIF</w:t>
      </w:r>
    </w:p>
    <w:p>
      <w:pPr>
        <w:spacing w:after="160"/>
        <w:jc w:val="center"/>
      </w:pPr>
      <w:r>
        <w:rPr>
          <w:color w:val="555555"/>
          <w:sz w:val="18"/>
        </w:rPr>
        <w:t>Kode: F-LPPM-09-10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FI, Senat, Yayasan, dan LPM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RINGKASAN EKSEKUTIF KINERJA LPPM: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Utama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RIP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TA Ini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Tren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didanai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per dosen (Rp)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Sinta 1–4 yang terbit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Scopus / internasional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terdaftar / terbit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didanai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peserta/beneficiary PKM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PKM per dosen (Rp)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penelitian/PKM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1x/tahun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Etika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etika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1x/tahun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Layanan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dosen terhadap LPPM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≥4/5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HIGHLIGHT DAN PENCAPAIAN TERBAIK TA INI: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TANTANGAN DAN HAMBATAN UTAMA: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PROGRAM PRIORITAS TA BERIKUTNYA: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