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LAPORAN MAHASISWA AKTIF, CUTI, DAN NON-AKTIF</w:t>
      </w:r>
    </w:p>
    <w:p>
      <w:pPr>
        <w:spacing w:after="160"/>
        <w:jc w:val="center"/>
      </w:pPr>
      <w:r>
        <w:rPr>
          <w:color w:val="555555"/>
          <w:sz w:val="18"/>
        </w:rPr>
        <w:t>Kode: F-WK3-06-07   |   Jenis: Rekap/Laporan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Laporan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+ WK I + WK II (untuk PDDIKTI)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255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170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Ekonomi Syariah</w:t>
            </w:r>
          </w:p>
        </w:tc>
        <w:tc>
          <w:tcPr>
            <w:tcW w:type="dxa" w:w="170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Perbankan Syariah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Total</w:t>
            </w:r>
          </w:p>
        </w:tc>
        <w:tc>
          <w:tcPr>
            <w:tcW w:type="dxa" w:w="255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% dari Total Terdaftar</w:t>
            </w:r>
          </w:p>
        </w:tc>
      </w:tr>
      <w:tr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Aktif (KRS lunas + isi KRS)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Cuti resmi (disetujui WK III)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  <w:tr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Non-aktif (tidak daftar ulang)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Lulus semester ini (yudisium)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  <w:tr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Mengundurkan Diri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 (Keputusan Ketua)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  <w:tr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TERDAFTAR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100%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Admin Umum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F-WK3-06-07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F-WK3-06-07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