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MONITORING MASA BERLAKU MOU</w:t>
      </w:r>
    </w:p>
    <w:p>
      <w:pPr>
        <w:spacing w:after="160"/>
        <w:jc w:val="center"/>
      </w:pPr>
      <w:r>
        <w:rPr>
          <w:color w:val="555555"/>
          <w:sz w:val="18"/>
        </w:rPr>
        <w:t>Kode: F-WK3-09-07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memantau status masa berlaku MoU dan mengidentifikasi yang perlu segera diperpanjang atau dievaluasi.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MoU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MoU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Kadaluarsa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(Bulan)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Peringatan</w:t>
            </w:r>
          </w:p>
        </w:tc>
        <w:tc>
          <w:tcPr>
            <w:tcW w:type="dxa" w:w="153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&gt; 12 bln (aman)</w:t>
              <w:br/>
              <w:t>☐ 6–12 bln (siap perpanjang)</w:t>
              <w:br/>
              <w:t>☐ &lt; 6 bln (SEGERA!)</w:t>
              <w:br/>
              <w:t>☐ Kadaluarsa</w:t>
            </w:r>
          </w:p>
        </w:tc>
        <w:tc>
          <w:tcPr>
            <w:tcW w:type="dxa" w:w="153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Diperpanjang</w:t>
              <w:br/>
              <w:t>☐ Dihentikan</w:t>
              <w:br/>
              <w:t>☐ Belum ada TL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