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LAPORAN TAHUNAN KERJASAMA KEPADA SENAT DAN YAYASAN</w:t>
      </w:r>
    </w:p>
    <w:p>
      <w:pPr>
        <w:spacing w:after="160"/>
        <w:jc w:val="center"/>
      </w:pPr>
      <w:r>
        <w:rPr>
          <w:color w:val="555555"/>
          <w:sz w:val="18"/>
        </w:rPr>
        <w:t>Kode: F-WK3-09-09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Senat STEI FI dan Yayasan Fithrah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Mitra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MoU</w:t>
              <w:br/>
              <w:t>Aktif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Terlaksana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Manfaat Utama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Rencana Pengembangan</w:t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Lembaga Keuangan Syariah (BPRS, BMT, Bank Syariah)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Pemerintah Daerah / Instansi Pemerintah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Perguruan Tinggi (dalam/luar negeri)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Industri / Perusahaan Halal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Lembaga Zakat, Wakaf, Filantropi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Sekolah / Pesantren (untuk PMB)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F-WK3-09-09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F-WK3-09-09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