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Calibri" w:cs="Calibri" w:eastAsia="Calibri" w:hAnsi="Calibri"/>
          <w:b/>
          <w:bCs/>
          <w:color w:val="1A6B3C"/>
          <w:sz w:val="18"/>
          <w:szCs w:val="18"/>
        </w:rPr>
        <w:t xml:space="preserve">DRAF UNTUK PEMBAHASAN PIMPINAN</w:t>
      </w:r>
    </w:p>
    <w:p>
      <w:pPr>
        <w:spacing w:after="80"/>
        <w:jc w:val="left"/>
      </w:pPr>
      <w:r>
        <w:rPr>
          <w:rFonts w:ascii="Calibri" w:cs="Calibri" w:eastAsia="Calibri" w:hAnsi="Calibri"/>
          <w:b/>
          <w:bCs/>
          <w:color w:val="14532D"/>
          <w:sz w:val="44"/>
          <w:szCs w:val="44"/>
        </w:rPr>
        <w:t xml:space="preserve">Konsep Learning Management System (LMS)</w:t>
      </w:r>
    </w:p>
    <w:p>
      <w:pPr>
        <w:spacing w:after="140"/>
        <w:jc w:val="left"/>
      </w:pPr>
      <w:r>
        <w:rPr>
          <w:rFonts w:ascii="Calibri" w:cs="Calibri" w:eastAsia="Calibri" w:hAnsi="Calibri"/>
          <w:color w:val="374151"/>
          <w:sz w:val="26"/>
          <w:szCs w:val="26"/>
        </w:rPr>
        <w:t xml:space="preserve">STEI Fithrah Insani — Versi 3, diperbarui dengan hasil survei kebutuhan (n = 17)</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00"/>
        <w:gridCol w:w="7012"/>
      </w:tblGrid>
      <w:tr>
        <w:trPr>
          <w:cantSplit/>
          <w:tblHeader/>
        </w:trPr>
        <w:tc>
          <w:tcPr>
            <w:tcW w:type="dxa" w:w="2400"/>
            <w:tcBorders>
              <w:top w:val="single" w:color="D1D5DB" w:sz="4"/>
              <w:left w:val="single" w:color="D1D5DB" w:sz="4"/>
              <w:bottom w:val="single" w:color="D1D5DB" w:sz="4"/>
              <w:right w:val="single" w:color="D1D5DB" w:sz="4"/>
            </w:tcBorders>
            <w:shd w:fill="1A6B3C"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Keterangan</w:t>
            </w:r>
          </w:p>
        </w:tc>
        <w:tc>
          <w:tcPr>
            <w:tcW w:type="dxa" w:w="7012"/>
            <w:tcBorders>
              <w:top w:val="single" w:color="D1D5DB" w:sz="4"/>
              <w:left w:val="single" w:color="D1D5DB" w:sz="4"/>
              <w:bottom w:val="single" w:color="D1D5DB" w:sz="4"/>
              <w:right w:val="single" w:color="D1D5DB" w:sz="4"/>
            </w:tcBorders>
            <w:shd w:fill="1A6B3C"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Isi</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Disiapkan oleh</w:t>
            </w:r>
          </w:p>
        </w:tc>
        <w:tc>
          <w:tcPr>
            <w:tcW w:type="dxa" w:w="7012"/>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Wakil Ketua I Bidang Akademik</w:t>
            </w:r>
          </w:p>
        </w:tc>
      </w:tr>
      <w:tr>
        <w:trPr>
          <w:cantSplit/>
        </w:trPr>
        <w:tc>
          <w:tcPr>
            <w:tcW w:type="dxa" w:w="2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Tanggal</w:t>
            </w:r>
          </w:p>
        </w:tc>
        <w:tc>
          <w:tcPr>
            <w:tcW w:type="dxa" w:w="701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15 Oktober 2026</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Dasar data</w:t>
            </w:r>
          </w:p>
        </w:tc>
        <w:tc>
          <w:tcPr>
            <w:tcW w:type="dxa" w:w="7012"/>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Survei kebutuhan LMS (n = 17; data per 15 Oktober 2026), informasi struktur SISCA, dokumen internal STEI FI</w:t>
            </w:r>
          </w:p>
        </w:tc>
      </w:tr>
      <w:tr>
        <w:trPr>
          <w:cantSplit/>
        </w:trPr>
        <w:tc>
          <w:tcPr>
            <w:tcW w:type="dxa" w:w="2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Status</w:t>
            </w:r>
          </w:p>
        </w:tc>
        <w:tc>
          <w:tcPr>
            <w:tcW w:type="dxa" w:w="701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Temuan indikatif; platform belum diputuskan</w:t>
            </w:r>
          </w:p>
        </w:tc>
      </w:tr>
    </w:tbl>
    <w:p>
      <w:pPr>
        <w:spacing w:after="80"/>
      </w:pPr>
    </w:p>
    <w:p>
      <w:pPr>
        <w:pStyle w:val="Heading1"/>
        <w:keepNext/>
        <w:pBdr>
          <w:bottom w:val="single" w:color="1A6B3C" w:sz="6" w:space="2"/>
        </w:pBdr>
        <w:spacing w:after="140" w:before="320"/>
      </w:pPr>
      <w:r>
        <w:rPr>
          <w:rFonts w:ascii="Calibri" w:cs="Calibri" w:eastAsia="Calibri" w:hAnsi="Calibri"/>
          <w:b/>
          <w:bCs/>
          <w:color w:val="1A6B3C"/>
          <w:sz w:val="30"/>
          <w:szCs w:val="30"/>
        </w:rPr>
        <w:t xml:space="preserve">Ringkasan untuk Pimpinan</w:t>
      </w:r>
    </w:p>
    <w:p>
      <w:pPr>
        <w:spacing w:after="120" w:line="300"/>
        <w:jc w:val="both"/>
      </w:pPr>
      <w:r>
        <w:rPr>
          <w:rFonts w:ascii="Calibri" w:cs="Calibri" w:eastAsia="Calibri" w:hAnsi="Calibri"/>
          <w:sz w:val="22"/>
          <w:szCs w:val="22"/>
        </w:rPr>
        <w:t xml:space="preserve">Konsep ini menjawab satu pertanyaan: sistem pembelajaran daring seperti apa yang paling sesuai untuk STEI FI, dan apa yang perlu diputuskan sekarang. Survei (17 responden) menunjukkan bahwa kebutuhan terbesar adalah materi dan RPS yang terpusat, hambatan terbesar adalah kuota dan koneksi, dan portal akademik SISCA dipakai terutama untuk melihat jadwal dan nilai, bukan untuk pembelajaran. Pola ini sama dengan hasil pada 7 responden pertama, dengan tambahan kebutuhan presensi online dan permintaan pelatihan yang terjadwal. Platform belum dapat dipilih karena dua hal belum dikonfirmasi: apakah SISCA sudah memiliki fitur e-learning dan apakah datanya dapat diintegrasikan.</w:t>
      </w:r>
    </w:p>
    <w:p>
      <w:pPr>
        <w:keepNext/>
        <w:spacing w:after="80" w:before="160"/>
      </w:pPr>
      <w:r>
        <w:rPr>
          <w:rFonts w:ascii="Calibri" w:cs="Calibri" w:eastAsia="Calibri" w:hAnsi="Calibri"/>
          <w:b/>
          <w:bCs/>
          <w:color w:val="374151"/>
          <w:sz w:val="20"/>
          <w:szCs w:val="20"/>
        </w:rPr>
        <w:t xml:space="preserve">Keputusan dan dukungan yang diminta</w:t>
      </w:r>
    </w:p>
    <w:p>
      <w:pPr>
        <w:pStyle w:val="ListParagraph"/>
        <w:numPr>
          <w:ilvl w:val="0"/>
          <w:numId w:val="2"/>
        </w:numPr>
        <w:spacing w:after="80" w:line="290"/>
      </w:pPr>
      <w:r>
        <w:rPr>
          <w:rFonts w:ascii="Calibri" w:cs="Calibri" w:eastAsia="Calibri" w:hAnsi="Calibri"/>
          <w:b/>
          <w:bCs/>
          <w:sz w:val="22"/>
          <w:szCs w:val="22"/>
        </w:rPr>
        <w:t xml:space="preserve">Menunjuk penanggung jawab teknis </w:t>
      </w:r>
      <w:r>
        <w:rPr>
          <w:rFonts w:ascii="Calibri" w:cs="Calibri" w:eastAsia="Calibri" w:hAnsi="Calibri"/>
          <w:sz w:val="22"/>
          <w:szCs w:val="22"/>
        </w:rPr>
        <w:t xml:space="preserve">(UPT Komputer/TI atau pihak yang ditunjuk) untuk menghubungi pengembang SISCA dan menjawab empat pertanyaan: vendor, fitur e-learning, ekspor/API data, dan login tunggal.</w:t>
      </w:r>
    </w:p>
    <w:p>
      <w:pPr>
        <w:pStyle w:val="ListParagraph"/>
        <w:numPr>
          <w:ilvl w:val="0"/>
          <w:numId w:val="2"/>
        </w:numPr>
        <w:spacing w:after="80" w:line="290"/>
      </w:pPr>
      <w:r>
        <w:rPr>
          <w:rFonts w:ascii="Calibri" w:cs="Calibri" w:eastAsia="Calibri" w:hAnsi="Calibri"/>
          <w:b/>
          <w:bCs/>
          <w:sz w:val="22"/>
          <w:szCs w:val="22"/>
        </w:rPr>
        <w:t xml:space="preserve">Mengganti kata sandi akun admin SISCA </w:t>
      </w:r>
      <w:r>
        <w:rPr>
          <w:rFonts w:ascii="Calibri" w:cs="Calibri" w:eastAsia="Calibri" w:hAnsi="Calibri"/>
          <w:sz w:val="22"/>
          <w:szCs w:val="22"/>
        </w:rPr>
        <w:t xml:space="preserve">dan mengganti akun admin bersama dengan akun bernama per petugas. Kata sandi lama pernah dibagikan lewat pesan teks.</w:t>
      </w:r>
    </w:p>
    <w:p>
      <w:pPr>
        <w:pStyle w:val="ListParagraph"/>
        <w:numPr>
          <w:ilvl w:val="0"/>
          <w:numId w:val="2"/>
        </w:numPr>
        <w:spacing w:after="80" w:line="290"/>
      </w:pPr>
      <w:r>
        <w:rPr>
          <w:rFonts w:ascii="Calibri" w:cs="Calibri" w:eastAsia="Calibri" w:hAnsi="Calibri"/>
          <w:b/>
          <w:bCs/>
          <w:sz w:val="22"/>
          <w:szCs w:val="22"/>
        </w:rPr>
        <w:t xml:space="preserve">Menetapkan rentang anggaran dan meminta penawaran </w:t>
      </w:r>
      <w:r>
        <w:rPr>
          <w:rFonts w:ascii="Calibri" w:cs="Calibri" w:eastAsia="Calibri" w:hAnsi="Calibri"/>
          <w:sz w:val="22"/>
          <w:szCs w:val="22"/>
        </w:rPr>
        <w:t xml:space="preserve">(lisensi, hosting, pelatihan). Data biaya belum tersedia pada dokumen yang diperiksa.</w:t>
      </w:r>
    </w:p>
    <w:p>
      <w:pPr>
        <w:pStyle w:val="ListParagraph"/>
        <w:numPr>
          <w:ilvl w:val="0"/>
          <w:numId w:val="2"/>
        </w:numPr>
        <w:spacing w:after="80" w:line="290"/>
      </w:pPr>
      <w:r>
        <w:rPr>
          <w:rFonts w:ascii="Calibri" w:cs="Calibri" w:eastAsia="Calibri" w:hAnsi="Calibri"/>
          <w:b/>
          <w:bCs/>
          <w:sz w:val="22"/>
          <w:szCs w:val="22"/>
        </w:rPr>
        <w:t xml:space="preserve">Menyetujui pilot </w:t>
      </w:r>
      <w:r>
        <w:rPr>
          <w:rFonts w:ascii="Calibri" w:cs="Calibri" w:eastAsia="Calibri" w:hAnsi="Calibri"/>
          <w:sz w:val="22"/>
          <w:szCs w:val="22"/>
        </w:rPr>
        <w:t xml:space="preserve">pada semester genap 2026/2027 dengan 5–8 mata kuliah dari kedua program studi, setelah platform diputuskan.</w:t>
      </w:r>
    </w:p>
    <w:p>
      <w:pPr>
        <w:pStyle w:val="ListParagraph"/>
        <w:numPr>
          <w:ilvl w:val="0"/>
          <w:numId w:val="2"/>
        </w:numPr>
        <w:spacing w:after="80" w:line="290"/>
      </w:pPr>
      <w:r>
        <w:rPr>
          <w:rFonts w:ascii="Calibri" w:cs="Calibri" w:eastAsia="Calibri" w:hAnsi="Calibri"/>
          <w:b/>
          <w:bCs/>
          <w:sz w:val="22"/>
          <w:szCs w:val="22"/>
        </w:rPr>
        <w:t xml:space="preserve">Mendukung perluasan survei </w:t>
      </w:r>
      <w:r>
        <w:rPr>
          <w:rFonts w:ascii="Calibri" w:cs="Calibri" w:eastAsia="Calibri" w:hAnsi="Calibri"/>
          <w:sz w:val="22"/>
          <w:szCs w:val="22"/>
        </w:rPr>
        <w:t xml:space="preserve">agar mencakup tenaga kependidikan (belum ada responden) dan mahasiswa Perbankan Syariah (belum ada responden), masing-masing sekurang-kurangnya 5 orang.</w:t>
      </w:r>
    </w:p>
    <w:p>
      <w:pPr>
        <w:pStyle w:val="Heading1"/>
        <w:keepNext/>
        <w:pBdr>
          <w:bottom w:val="single" w:color="1A6B3C" w:sz="6" w:space="2"/>
        </w:pBdr>
        <w:spacing w:after="140" w:before="320"/>
      </w:pPr>
      <w:r>
        <w:rPr>
          <w:rFonts w:ascii="Calibri" w:cs="Calibri" w:eastAsia="Calibri" w:hAnsi="Calibri"/>
          <w:b/>
          <w:bCs/>
          <w:color w:val="1A6B3C"/>
          <w:sz w:val="30"/>
          <w:szCs w:val="30"/>
        </w:rPr>
        <w:t xml:space="preserve">Abstrak</w:t>
      </w:r>
    </w:p>
    <w:p>
      <w:pPr>
        <w:spacing w:after="120" w:line="300"/>
        <w:jc w:val="both"/>
      </w:pPr>
      <w:r>
        <w:rPr>
          <w:rFonts w:ascii="Calibri" w:cs="Calibri" w:eastAsia="Calibri" w:hAnsi="Calibri"/>
          <w:sz w:val="22"/>
          <w:szCs w:val="22"/>
        </w:rPr>
        <w:t xml:space="preserve">Laporan ini memperbarui konsep Learning Management System (LMS) Sekolah Tinggi Ekonomi Islam Fithrah Insani (STEI FI) dengan hasil survei kebutuhan pengguna (n = 17; 6 dosen dan 11 mahasiswa) dan informasi tentang sistem akademik SISCA. Materi dan RPS terpusat menjadi kebutuhan utama (15 dari 17 responden). Kuota dan koneksi yang tidak stabil menjadi hambatan terbesar (15 dari 17), dan 12 dari 17 responden jarang atau tidak pernah memakai SISCA; fitur yang dipakai terutama jadwal dan nilai. Pembelajaran daring saat ini tersebar pada Google Meet/Zoom, Google Classroom, Google Drive, dan WhatsApp. Berdasarkan temuan tersebut, urutan modul menempatkan materi, penilaian, presensi, dan tugas sebagai inti, rancangan diarahkan pada penggunaan ringan di HP, dan pelatihan dilakukan dengan video singkat dan tatap muka. Rekomendasi platform tetap bersyarat pada jawaban pengembang SISCA. Keterbatasan utamanya adalah tidak adanya tenaga kependidikan dan mahasiswa Perbankan Syariah, serta kemungkinan bias pemilihan sendiri. Temuan ini memperkuat hasil pada 7 responden pertama tanpa mengubah kesimpulan utama, tetapi bersifat indikatif dan belum dapat digeneralisasi.</w:t>
      </w:r>
    </w:p>
    <w:p>
      <w:pPr>
        <w:pStyle w:val="Heading1"/>
        <w:keepNext/>
        <w:pBdr>
          <w:bottom w:val="single" w:color="1A6B3C" w:sz="6" w:space="2"/>
        </w:pBdr>
        <w:spacing w:after="140" w:before="320"/>
      </w:pPr>
      <w:r>
        <w:rPr>
          <w:rFonts w:ascii="Calibri" w:cs="Calibri" w:eastAsia="Calibri" w:hAnsi="Calibri"/>
          <w:b/>
          <w:bCs/>
          <w:color w:val="1A6B3C"/>
          <w:sz w:val="30"/>
          <w:szCs w:val="30"/>
        </w:rPr>
        <w:t xml:space="preserve">1. Pendahuluan</w:t>
      </w:r>
    </w:p>
    <w:p>
      <w:pPr>
        <w:pStyle w:val="Heading2"/>
        <w:keepNext/>
        <w:spacing w:after="100" w:before="220"/>
      </w:pPr>
      <w:r>
        <w:rPr>
          <w:rFonts w:ascii="Calibri" w:cs="Calibri" w:eastAsia="Calibri" w:hAnsi="Calibri"/>
          <w:b/>
          <w:bCs/>
          <w:color w:val="14532D"/>
          <w:sz w:val="25"/>
          <w:szCs w:val="25"/>
        </w:rPr>
        <w:t xml:space="preserve">1.1 Latar Belakang</w:t>
      </w:r>
    </w:p>
    <w:p>
      <w:pPr>
        <w:spacing w:after="120" w:line="300"/>
        <w:jc w:val="both"/>
      </w:pPr>
      <w:r>
        <w:rPr>
          <w:rFonts w:ascii="Calibri" w:cs="Calibri" w:eastAsia="Calibri" w:hAnsi="Calibri"/>
          <w:sz w:val="22"/>
          <w:szCs w:val="22"/>
        </w:rPr>
        <w:t xml:space="preserve">Dokumen internal STEI FI sudah mengasumsikan keberadaan sistem akademik dan "e-learning" sebagai syarat kesiapan semester, tetapi platform e-learning yang dimaksud tidak teridentifikasi. Sistem akademik yang digunakan adalah SISCA, yang terdiri dari empat portal: akademik (untuk petugas), dosen, mahasiswa, dan penerimaan mahasiswa baru. Pada saat yang sama, STEI FI menargetkan penyerahan Laporan Evaluasi Diri (LED) ke SAPTO pada akhir April 2027 (estimasi). Bukti pelaksanaan pembelajaran lebih mudah dihasilkan apabila prosesnya berjalan dalam satu sistem yang meninggalkan jejak audit.</w:t>
      </w:r>
    </w:p>
    <w:p>
      <w:pPr>
        <w:pStyle w:val="Heading2"/>
        <w:keepNext/>
        <w:spacing w:after="100" w:before="220"/>
      </w:pPr>
      <w:r>
        <w:rPr>
          <w:rFonts w:ascii="Calibri" w:cs="Calibri" w:eastAsia="Calibri" w:hAnsi="Calibri"/>
          <w:b/>
          <w:bCs/>
          <w:color w:val="14532D"/>
          <w:sz w:val="25"/>
          <w:szCs w:val="25"/>
        </w:rPr>
        <w:t xml:space="preserve">1.2 Rumusan Masalah</w:t>
      </w:r>
    </w:p>
    <w:p>
      <w:pPr>
        <w:pStyle w:val="ListParagraph"/>
        <w:numPr>
          <w:ilvl w:val="0"/>
          <w:numId w:val="2"/>
        </w:numPr>
        <w:spacing w:after="80" w:line="290"/>
      </w:pPr>
      <w:r>
        <w:rPr>
          <w:rFonts w:ascii="Calibri" w:cs="Calibri" w:eastAsia="Calibri" w:hAnsi="Calibri"/>
          <w:sz w:val="22"/>
          <w:szCs w:val="22"/>
        </w:rPr>
        <w:t xml:space="preserve">Apa kebutuhan dan hambatan pengguna LMS menurut hasil survei awal?</w:t>
      </w:r>
    </w:p>
    <w:p>
      <w:pPr>
        <w:pStyle w:val="ListParagraph"/>
        <w:numPr>
          <w:ilvl w:val="0"/>
          <w:numId w:val="2"/>
        </w:numPr>
        <w:spacing w:after="80" w:line="290"/>
      </w:pPr>
      <w:r>
        <w:rPr>
          <w:rFonts w:ascii="Calibri" w:cs="Calibri" w:eastAsia="Calibri" w:hAnsi="Calibri"/>
          <w:sz w:val="22"/>
          <w:szCs w:val="22"/>
        </w:rPr>
        <w:t xml:space="preserve">Bagaimana temuan itu mengubah prioritas modul, pilihan platform, dan pola pelatihan?</w:t>
      </w:r>
    </w:p>
    <w:p>
      <w:pPr>
        <w:pStyle w:val="ListParagraph"/>
        <w:numPr>
          <w:ilvl w:val="0"/>
          <w:numId w:val="2"/>
        </w:numPr>
        <w:spacing w:after="80" w:line="290"/>
      </w:pPr>
      <w:r>
        <w:rPr>
          <w:rFonts w:ascii="Calibri" w:cs="Calibri" w:eastAsia="Calibri" w:hAnsi="Calibri"/>
          <w:sz w:val="22"/>
          <w:szCs w:val="22"/>
        </w:rPr>
        <w:t xml:space="preserve">Seberapa kuat temuan tersebut sebagai dasar keputusan?</w:t>
      </w:r>
    </w:p>
    <w:p>
      <w:pPr>
        <w:pStyle w:val="Heading2"/>
        <w:keepNext/>
        <w:spacing w:after="100" w:before="220"/>
      </w:pPr>
      <w:r>
        <w:rPr>
          <w:rFonts w:ascii="Calibri" w:cs="Calibri" w:eastAsia="Calibri" w:hAnsi="Calibri"/>
          <w:b/>
          <w:bCs/>
          <w:color w:val="14532D"/>
          <w:sz w:val="25"/>
          <w:szCs w:val="25"/>
        </w:rPr>
        <w:t xml:space="preserve">1.3 Kerangka Teori</w:t>
      </w:r>
    </w:p>
    <w:p>
      <w:pPr>
        <w:pStyle w:val="ListParagraph"/>
        <w:numPr>
          <w:ilvl w:val="0"/>
          <w:numId w:val="3"/>
        </w:numPr>
        <w:spacing w:after="70" w:line="290"/>
      </w:pPr>
      <w:r>
        <w:rPr>
          <w:rFonts w:ascii="Calibri" w:cs="Calibri" w:eastAsia="Calibri" w:hAnsi="Calibri"/>
          <w:b/>
          <w:bCs/>
          <w:sz w:val="22"/>
          <w:szCs w:val="22"/>
        </w:rPr>
        <w:t xml:space="preserve">Community of Inquiry </w:t>
      </w:r>
      <w:r>
        <w:rPr>
          <w:rFonts w:ascii="Calibri" w:cs="Calibri" w:eastAsia="Calibri" w:hAnsi="Calibri"/>
          <w:sz w:val="22"/>
          <w:szCs w:val="22"/>
        </w:rPr>
        <w:t xml:space="preserve">(Garrison et al., 2000): pembelajaran daring efektif bila presensi kognitif, sosial, dan pengajaran hadir bersama, sehingga LMS perlu memuat forum, umpan balik, dan struktur kegiatan.</w:t>
      </w:r>
    </w:p>
    <w:p>
      <w:pPr>
        <w:pStyle w:val="ListParagraph"/>
        <w:numPr>
          <w:ilvl w:val="0"/>
          <w:numId w:val="3"/>
        </w:numPr>
        <w:spacing w:after="70" w:line="290"/>
      </w:pPr>
      <w:r>
        <w:rPr>
          <w:rFonts w:ascii="Calibri" w:cs="Calibri" w:eastAsia="Calibri" w:hAnsi="Calibri"/>
          <w:b/>
          <w:bCs/>
          <w:sz w:val="22"/>
          <w:szCs w:val="22"/>
        </w:rPr>
        <w:t xml:space="preserve">Model kesuksesan sistem informasi </w:t>
      </w:r>
      <w:r>
        <w:rPr>
          <w:rFonts w:ascii="Calibri" w:cs="Calibri" w:eastAsia="Calibri" w:hAnsi="Calibri"/>
          <w:sz w:val="22"/>
          <w:szCs w:val="22"/>
        </w:rPr>
        <w:t xml:space="preserve">(DeLone &amp; McLean, 2003): kualitas sistem, informasi, layanan, penggunaan, kepuasan, dan manfaat bersih menjadi dasar indikator.</w:t>
      </w:r>
    </w:p>
    <w:p>
      <w:pPr>
        <w:pStyle w:val="ListParagraph"/>
        <w:numPr>
          <w:ilvl w:val="0"/>
          <w:numId w:val="3"/>
        </w:numPr>
        <w:spacing w:after="70" w:line="290"/>
      </w:pPr>
      <w:r>
        <w:rPr>
          <w:rFonts w:ascii="Calibri" w:cs="Calibri" w:eastAsia="Calibri" w:hAnsi="Calibri"/>
          <w:b/>
          <w:bCs/>
          <w:sz w:val="22"/>
          <w:szCs w:val="22"/>
        </w:rPr>
        <w:t xml:space="preserve">Technology Acceptance Model </w:t>
      </w:r>
      <w:r>
        <w:rPr>
          <w:rFonts w:ascii="Calibri" w:cs="Calibri" w:eastAsia="Calibri" w:hAnsi="Calibri"/>
          <w:sz w:val="22"/>
          <w:szCs w:val="22"/>
        </w:rPr>
        <w:t xml:space="preserve">(Davis, 1989): persepsi kemudahan dan kemanfaatan menentukan adopsi.</w:t>
      </w:r>
    </w:p>
    <w:p>
      <w:pPr>
        <w:pStyle w:val="ListParagraph"/>
        <w:numPr>
          <w:ilvl w:val="0"/>
          <w:numId w:val="3"/>
        </w:numPr>
        <w:spacing w:after="70" w:line="290"/>
      </w:pPr>
      <w:r>
        <w:rPr>
          <w:rFonts w:ascii="Calibri" w:cs="Calibri" w:eastAsia="Calibri" w:hAnsi="Calibri"/>
          <w:b/>
          <w:bCs/>
          <w:sz w:val="22"/>
          <w:szCs w:val="22"/>
        </w:rPr>
        <w:t xml:space="preserve">Prinsip pembelajaran multimedia </w:t>
      </w:r>
      <w:r>
        <w:rPr>
          <w:rFonts w:ascii="Calibri" w:cs="Calibri" w:eastAsia="Calibri" w:hAnsi="Calibri"/>
          <w:sz w:val="22"/>
          <w:szCs w:val="22"/>
        </w:rPr>
        <w:t xml:space="preserve">(Mayer, 2009): menjadi pedoman penyajian bahan ajar.</w:t>
      </w:r>
    </w:p>
    <w:p>
      <w:pPr>
        <w:pStyle w:val="Heading1"/>
        <w:keepNext/>
        <w:pBdr>
          <w:bottom w:val="single" w:color="1A6B3C" w:sz="6" w:space="2"/>
        </w:pBdr>
        <w:spacing w:after="140" w:before="320"/>
      </w:pPr>
      <w:r>
        <w:rPr>
          <w:rFonts w:ascii="Calibri" w:cs="Calibri" w:eastAsia="Calibri" w:hAnsi="Calibri"/>
          <w:b/>
          <w:bCs/>
          <w:color w:val="1A6B3C"/>
          <w:sz w:val="30"/>
          <w:szCs w:val="30"/>
        </w:rPr>
        <w:t xml:space="preserve">2. Metodologi</w:t>
      </w:r>
    </w:p>
    <w:p>
      <w:pPr>
        <w:spacing w:after="120" w:line="300"/>
        <w:jc w:val="both"/>
      </w:pPr>
      <w:r>
        <w:rPr>
          <w:rFonts w:ascii="Calibri" w:cs="Calibri" w:eastAsia="Calibri" w:hAnsi="Calibri"/>
          <w:sz w:val="22"/>
          <w:szCs w:val="22"/>
        </w:rPr>
        <w:t xml:space="preserve">Data primer berasal dari survei daring anonim 13 pertanyaan yang tautannya dibagikan lewat grup; seluruh jawaban yang dianalisis masuk pada 13 Oktober 2026 dan diambil per 15 Oktober 2026. Analisis bersifat deskriptif: frekuensi jawaban dan rata-rata skala 1–5. Data sekunder berasal dari dokumen internal STEI FI dan informasi struktur SISCA yang diberikan pimpinan.</w:t>
      </w:r>
    </w:p>
    <w:p>
      <w:pPr>
        <w:keepNext/>
        <w:spacing w:after="80" w:before="160"/>
      </w:pPr>
      <w:r>
        <w:rPr>
          <w:rFonts w:ascii="Calibri" w:cs="Calibri" w:eastAsia="Calibri" w:hAnsi="Calibri"/>
          <w:b/>
          <w:bCs/>
          <w:color w:val="374151"/>
          <w:sz w:val="20"/>
          <w:szCs w:val="20"/>
        </w:rPr>
        <w:t xml:space="preserve">Keterbatasan</w:t>
      </w:r>
    </w:p>
    <w:p>
      <w:pPr>
        <w:pStyle w:val="ListParagraph"/>
        <w:numPr>
          <w:ilvl w:val="0"/>
          <w:numId w:val="3"/>
        </w:numPr>
        <w:spacing w:after="70" w:line="290"/>
      </w:pPr>
      <w:r>
        <w:rPr>
          <w:rFonts w:ascii="Calibri" w:cs="Calibri" w:eastAsia="Calibri" w:hAnsi="Calibri"/>
          <w:sz w:val="22"/>
          <w:szCs w:val="22"/>
        </w:rPr>
        <w:t xml:space="preserve">Jumlah responden 17, sehingga satu responden setara sekitar 6 poin persentase.</w:t>
      </w:r>
    </w:p>
    <w:p>
      <w:pPr>
        <w:pStyle w:val="ListParagraph"/>
        <w:numPr>
          <w:ilvl w:val="0"/>
          <w:numId w:val="3"/>
        </w:numPr>
        <w:spacing w:after="70" w:line="290"/>
      </w:pPr>
      <w:r>
        <w:rPr>
          <w:rFonts w:ascii="Calibri" w:cs="Calibri" w:eastAsia="Calibri" w:hAnsi="Calibri"/>
          <w:sz w:val="22"/>
          <w:szCs w:val="22"/>
        </w:rPr>
        <w:t xml:space="preserve">Responden adalah sukarelawan (bias pemilihan sendiri) dan dapat lebih terbiasa dengan teknologi dibanding rata-rata sivitas.</w:t>
      </w:r>
    </w:p>
    <w:p>
      <w:pPr>
        <w:pStyle w:val="ListParagraph"/>
        <w:numPr>
          <w:ilvl w:val="0"/>
          <w:numId w:val="3"/>
        </w:numPr>
        <w:spacing w:after="70" w:line="290"/>
      </w:pPr>
      <w:r>
        <w:rPr>
          <w:rFonts w:ascii="Calibri" w:cs="Calibri" w:eastAsia="Calibri" w:hAnsi="Calibri"/>
          <w:sz w:val="22"/>
          <w:szCs w:val="22"/>
        </w:rPr>
        <w:t xml:space="preserve">Tidak ada tenaga kependidikan; seluruh mahasiswa (11) berasal dari Ekonomi Syariah, sehingga Perbankan Syariah hanya diwakili 2 dosen (total 15 Ekonomi Syariah, 2 Perbankan Syariah).</w:t>
      </w:r>
    </w:p>
    <w:p>
      <w:pPr>
        <w:pStyle w:val="ListParagraph"/>
        <w:numPr>
          <w:ilvl w:val="0"/>
          <w:numId w:val="3"/>
        </w:numPr>
        <w:spacing w:after="70" w:line="290"/>
      </w:pPr>
      <w:r>
        <w:rPr>
          <w:rFonts w:ascii="Calibri" w:cs="Calibri" w:eastAsia="Calibri" w:hAnsi="Calibri"/>
          <w:sz w:val="22"/>
          <w:szCs w:val="22"/>
        </w:rPr>
        <w:t xml:space="preserve">Populasi sivitas, kapasitas TI, dan biaya tidak tersedia pada dokumen yang diperiksa.</w:t>
      </w:r>
    </w:p>
    <w:p>
      <w:pPr>
        <w:pStyle w:val="ListParagraph"/>
        <w:numPr>
          <w:ilvl w:val="0"/>
          <w:numId w:val="3"/>
        </w:numPr>
        <w:spacing w:after="70" w:line="290"/>
      </w:pPr>
      <w:r>
        <w:rPr>
          <w:rFonts w:ascii="Calibri" w:cs="Calibri" w:eastAsia="Calibri" w:hAnsi="Calibri"/>
          <w:sz w:val="22"/>
          <w:szCs w:val="22"/>
        </w:rPr>
        <w:t xml:space="preserve">Ada ketidakselarasan kecil antarjawaban: 5 responden memilih "belum pernah memakai SISCA" pada daftar fitur, sedangkan 4 memilih "tidak pernah" pada pertanyaan frekuensi.</w:t>
      </w:r>
    </w:p>
    <w:p>
      <w:pPr>
        <w:pStyle w:val="Heading1"/>
        <w:keepNext/>
        <w:pBdr>
          <w:bottom w:val="single" w:color="1A6B3C" w:sz="6" w:space="2"/>
        </w:pBdr>
        <w:spacing w:after="140" w:before="320"/>
      </w:pPr>
      <w:r>
        <w:rPr>
          <w:rFonts w:ascii="Calibri" w:cs="Calibri" w:eastAsia="Calibri" w:hAnsi="Calibri"/>
          <w:b/>
          <w:bCs/>
          <w:color w:val="1A6B3C"/>
          <w:sz w:val="30"/>
          <w:szCs w:val="30"/>
        </w:rPr>
        <w:t xml:space="preserve">3. Hasil dan Pembahasan</w:t>
      </w:r>
    </w:p>
    <w:p>
      <w:pPr>
        <w:pStyle w:val="Heading2"/>
        <w:keepNext/>
        <w:spacing w:after="100" w:before="220"/>
      </w:pPr>
      <w:r>
        <w:rPr>
          <w:rFonts w:ascii="Calibri" w:cs="Calibri" w:eastAsia="Calibri" w:hAnsi="Calibri"/>
          <w:b/>
          <w:bCs/>
          <w:color w:val="14532D"/>
          <w:sz w:val="25"/>
          <w:szCs w:val="25"/>
        </w:rPr>
        <w:t xml:space="preserve">3.1 Temuan Survei</w:t>
      </w:r>
    </w:p>
    <w:p>
      <w:pPr>
        <w:keepNext/>
        <w:spacing w:after="80" w:before="160"/>
      </w:pPr>
      <w:r>
        <w:rPr>
          <w:rFonts w:ascii="Calibri" w:cs="Calibri" w:eastAsia="Calibri" w:hAnsi="Calibri"/>
          <w:b/>
          <w:bCs/>
          <w:color w:val="374151"/>
          <w:sz w:val="20"/>
          <w:szCs w:val="20"/>
        </w:rPr>
        <w:t xml:space="preserve">Tabel 1. Temuan utama (n = 17)</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500"/>
        <w:gridCol w:w="6912"/>
      </w:tblGrid>
      <w:tr>
        <w:trPr>
          <w:cantSplit/>
          <w:tblHeader/>
        </w:trPr>
        <w:tc>
          <w:tcPr>
            <w:tcW w:type="dxa" w:w="2500"/>
            <w:tcBorders>
              <w:top w:val="single" w:color="D1D5DB" w:sz="4"/>
              <w:left w:val="single" w:color="D1D5DB" w:sz="4"/>
              <w:bottom w:val="single" w:color="D1D5DB" w:sz="4"/>
              <w:right w:val="single" w:color="D1D5DB" w:sz="4"/>
            </w:tcBorders>
            <w:shd w:fill="1A6B3C"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Dimensi</w:t>
            </w:r>
          </w:p>
        </w:tc>
        <w:tc>
          <w:tcPr>
            <w:tcW w:type="dxa" w:w="6912"/>
            <w:tcBorders>
              <w:top w:val="single" w:color="D1D5DB" w:sz="4"/>
              <w:left w:val="single" w:color="D1D5DB" w:sz="4"/>
              <w:bottom w:val="single" w:color="D1D5DB" w:sz="4"/>
              <w:right w:val="single" w:color="D1D5DB" w:sz="4"/>
            </w:tcBorders>
            <w:shd w:fill="1A6B3C"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Temuan</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Responden</w:t>
            </w:r>
          </w:p>
        </w:tc>
        <w:tc>
          <w:tcPr>
            <w:tcW w:type="dxa" w:w="6912"/>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6 dosen, 11 mahasiswa; 15 Ekonomi Syariah, 2 Perbankan Syariah</w:t>
            </w:r>
          </w:p>
        </w:tc>
      </w:tr>
      <w:tr>
        <w:trPr>
          <w:cantSplit/>
        </w:trPr>
        <w:tc>
          <w:tcPr>
            <w:tcW w:type="dxa" w:w="2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Perangkat</w:t>
            </w:r>
          </w:p>
        </w:tc>
        <w:tc>
          <w:tcPr>
            <w:tcW w:type="dxa" w:w="691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HP dan laptop 9; HP saja 5; laptop saja 3</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Kualitas koneksi</w:t>
            </w:r>
          </w:p>
        </w:tc>
        <w:tc>
          <w:tcPr>
            <w:tcW w:type="dxa" w:w="6912"/>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Rata-rata 4,0 dari 5</w:t>
            </w:r>
          </w:p>
        </w:tc>
      </w:tr>
      <w:tr>
        <w:trPr>
          <w:cantSplit/>
        </w:trPr>
        <w:tc>
          <w:tcPr>
            <w:tcW w:type="dxa" w:w="2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Hambatan</w:t>
            </w:r>
          </w:p>
        </w:tc>
        <w:tc>
          <w:tcPr>
            <w:tcW w:type="dxa" w:w="691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Kuota/koneksi tidak stabil 15; perangkat terbatas 6; tampilan sulit di HP 3; lainnya 2 atau kurang</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Pemakaian SISCA</w:t>
            </w:r>
          </w:p>
        </w:tc>
        <w:tc>
          <w:tcPr>
            <w:tcW w:type="dxa" w:w="6912"/>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Frekuensi: tidak pernah 4, jarang 8, kadang-kadang 4, sering 1; fitur yang dipakai: nilai 7, jadwal 7, tugas 5, KRS 3, materi/RPS 3, presensi 2, ujian 1; belum pernah memakai 5</w:t>
            </w:r>
          </w:p>
        </w:tc>
      </w:tr>
      <w:tr>
        <w:trPr>
          <w:cantSplit/>
        </w:trPr>
        <w:tc>
          <w:tcPr>
            <w:tcW w:type="dxa" w:w="2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Aplikasi lain</w:t>
            </w:r>
          </w:p>
        </w:tc>
        <w:tc>
          <w:tcPr>
            <w:tcW w:type="dxa" w:w="691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Zoom/Google Meet 13; Google Drive 10; Google Classroom 10; WhatsApp 9</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Pentingnya akun SISCA yang sama</w:t>
            </w:r>
          </w:p>
        </w:tc>
        <w:tc>
          <w:tcPr>
            <w:tcW w:type="dxa" w:w="6912"/>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Rata-rata 3,88 dari 5</w:t>
            </w:r>
          </w:p>
        </w:tc>
      </w:tr>
      <w:tr>
        <w:trPr>
          <w:cantSplit/>
        </w:trPr>
        <w:tc>
          <w:tcPr>
            <w:tcW w:type="dxa" w:w="2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Kesiapan pelatihan</w:t>
            </w:r>
          </w:p>
        </w:tc>
        <w:tc>
          <w:tcPr>
            <w:tcW w:type="dxa" w:w="691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Siap 9; mungkin 8; belum siap 0</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Format panduan</w:t>
            </w:r>
          </w:p>
        </w:tc>
        <w:tc>
          <w:tcPr>
            <w:tcW w:type="dxa" w:w="6912"/>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Video singkat 8; tatap muka 7; PDF 2</w:t>
            </w:r>
          </w:p>
        </w:tc>
      </w:tr>
    </w:tbl>
    <w:p>
      <w:pPr>
        <w:keepNext/>
        <w:spacing w:after="80" w:before="160"/>
      </w:pPr>
      <w:r>
        <w:rPr>
          <w:rFonts w:ascii="Calibri" w:cs="Calibri" w:eastAsia="Calibri" w:hAnsi="Calibri"/>
          <w:b/>
          <w:bCs/>
          <w:color w:val="374151"/>
          <w:sz w:val="20"/>
          <w:szCs w:val="20"/>
        </w:rPr>
        <w:t xml:space="preserve">Tabel 2. Fitur LMS yang dibutuhkan (maksimal 5 pilihan per responden)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6412"/>
        <w:gridCol w:w="3000"/>
      </w:tblGrid>
      <w:tr>
        <w:trPr>
          <w:cantSplit/>
          <w:tblHeader/>
        </w:trPr>
        <w:tc>
          <w:tcPr>
            <w:tcW w:type="dxa" w:w="6412"/>
            <w:tcBorders>
              <w:top w:val="single" w:color="D1D5DB" w:sz="4"/>
              <w:left w:val="single" w:color="D1D5DB" w:sz="4"/>
              <w:bottom w:val="single" w:color="D1D5DB" w:sz="4"/>
              <w:right w:val="single" w:color="D1D5DB" w:sz="4"/>
            </w:tcBorders>
            <w:shd w:fill="1A6B3C"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Fitur</w:t>
            </w:r>
          </w:p>
        </w:tc>
        <w:tc>
          <w:tcPr>
            <w:tcW w:type="dxa" w:w="3000"/>
            <w:tcBorders>
              <w:top w:val="single" w:color="D1D5DB" w:sz="4"/>
              <w:left w:val="single" w:color="D1D5DB" w:sz="4"/>
              <w:bottom w:val="single" w:color="D1D5DB" w:sz="4"/>
              <w:right w:val="single" w:color="D1D5DB" w:sz="4"/>
            </w:tcBorders>
            <w:shd w:fill="1A6B3C"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Jumlah responden</w:t>
            </w:r>
          </w:p>
        </w:tc>
      </w:tr>
      <w:tr>
        <w:trPr>
          <w:cantSplit/>
        </w:trPr>
        <w:tc>
          <w:tcPr>
            <w:tcW w:type="dxa" w:w="6412"/>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Materi &amp; RPS terpusat</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15</w:t>
            </w:r>
          </w:p>
        </w:tc>
      </w:tr>
      <w:tr>
        <w:trPr>
          <w:cantSplit/>
        </w:trPr>
        <w:tc>
          <w:tcPr>
            <w:tcW w:type="dxa" w:w="641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Presensi online; nilai &amp; rubrik transparan</w:t>
            </w:r>
          </w:p>
        </w:tc>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9 masing-masing</w:t>
            </w:r>
          </w:p>
        </w:tc>
      </w:tr>
      <w:tr>
        <w:trPr>
          <w:cantSplit/>
        </w:trPr>
        <w:tc>
          <w:tcPr>
            <w:tcW w:type="dxa" w:w="6412"/>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Tugas &amp; umpan balik</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8</w:t>
            </w:r>
          </w:p>
        </w:tc>
      </w:tr>
      <w:tr>
        <w:trPr>
          <w:cantSplit/>
        </w:trPr>
        <w:tc>
          <w:tcPr>
            <w:tcW w:type="dxa" w:w="641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Forum diskusi; video/rekaman kuliah; evaluasi dosen oleh mahasiswa</w:t>
            </w:r>
          </w:p>
        </w:tc>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5 masing-masing</w:t>
            </w:r>
          </w:p>
        </w:tc>
      </w:tr>
      <w:tr>
        <w:trPr>
          <w:cantSplit/>
        </w:trPr>
        <w:tc>
          <w:tcPr>
            <w:tcW w:type="dxa" w:w="6412"/>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Ujian/kuis daring; pengumuman &amp; notifikasi</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4 masing-masing</w:t>
            </w:r>
          </w:p>
        </w:tc>
      </w:tr>
      <w:tr>
        <w:trPr>
          <w:cantSplit/>
        </w:trPr>
        <w:tc>
          <w:tcPr>
            <w:tcW w:type="dxa" w:w="641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Peringatan dini akademik</w:t>
            </w:r>
          </w:p>
        </w:tc>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2</w:t>
            </w:r>
          </w:p>
        </w:tc>
      </w:tr>
    </w:tbl>
    <w:p>
      <w:pPr>
        <w:spacing w:after="100" w:line="300"/>
        <w:jc w:val="both"/>
      </w:pPr>
      <w:r>
        <w:rPr>
          <w:rFonts w:ascii="Calibri" w:cs="Calibri" w:eastAsia="Calibri" w:hAnsi="Calibri"/>
          <w:b/>
          <w:bCs/>
          <w:sz w:val="22"/>
          <w:szCs w:val="22"/>
        </w:rPr>
        <w:t xml:space="preserve">Saran terbuka (8 jawaban, 7 bermakna): </w:t>
      </w:r>
      <w:r>
        <w:rPr>
          <w:rFonts w:ascii="Calibri" w:cs="Calibri" w:eastAsia="Calibri" w:hAnsi="Calibri"/>
          <w:sz w:val="22"/>
          <w:szCs w:val="22"/>
        </w:rPr>
        <w:t xml:space="preserve">(1) pelatihan penggunaan akun SISCA yang rinci dan terjadwal (dosen); (2) materi PDF/PPT diunggah ke LMS minimal satu hari sebelum kelas; (3) untuk kelas karyawan, daring sebagai prioritas dan perkuliahan berfokus pada akhir pekan; (4) konfirmasi kehadiran dosen pada kelas luring; (5) harapan agar LMS membangun ekosistem belajar yang interaktif, terukur, dan berkelanjutan; serta dua dukungan umum.</w:t>
      </w:r>
    </w:p>
    <w:p>
      <w:pPr>
        <w:pStyle w:val="Heading2"/>
        <w:keepNext/>
        <w:spacing w:after="100" w:before="220"/>
      </w:pPr>
      <w:r>
        <w:rPr>
          <w:rFonts w:ascii="Calibri" w:cs="Calibri" w:eastAsia="Calibri" w:hAnsi="Calibri"/>
          <w:b/>
          <w:bCs/>
          <w:color w:val="14532D"/>
          <w:sz w:val="25"/>
          <w:szCs w:val="25"/>
        </w:rPr>
        <w:t xml:space="preserve">3.2 Implikasi bagi Rancangan</w:t>
      </w:r>
    </w:p>
    <w:p>
      <w:pPr>
        <w:spacing w:after="120" w:line="300"/>
        <w:jc w:val="both"/>
      </w:pPr>
      <w:r>
        <w:rPr>
          <w:rFonts w:ascii="Calibri" w:cs="Calibri" w:eastAsia="Calibri" w:hAnsi="Calibri"/>
          <w:b/>
          <w:bCs/>
          <w:sz w:val="22"/>
          <w:szCs w:val="22"/>
        </w:rPr>
        <w:t xml:space="preserve">Prioritas modul. </w:t>
      </w:r>
      <w:r>
        <w:rPr>
          <w:rFonts w:ascii="Calibri" w:cs="Calibri" w:eastAsia="Calibri" w:hAnsi="Calibri"/>
          <w:sz w:val="22"/>
          <w:szCs w:val="22"/>
        </w:rPr>
        <w:t xml:space="preserve">Materi terpusat menjadi inti pertama (15 dari 17), disusul presensi online dan penilaian dengan rubrik (9), serta tugas dan umpan balik (8). Forum, video, dan evaluasi dosen berada di tingkat menengah (5), sedangkan ujian daring, pengumuman, dan peringatan dini lebih jarang diminta. Kebutuhan institusi dan permintaan pengguna kini searah: presensi dan penilaian diperlukan sebagai bukti akreditasi dan juga diminta pengguna. Urutan berikut menyeimbangkan keduanya.</w:t>
      </w:r>
    </w:p>
    <w:p>
      <w:pPr>
        <w:keepNext/>
        <w:spacing w:after="80" w:before="160"/>
      </w:pPr>
      <w:r>
        <w:rPr>
          <w:rFonts w:ascii="Calibri" w:cs="Calibri" w:eastAsia="Calibri" w:hAnsi="Calibri"/>
          <w:b/>
          <w:bCs/>
          <w:color w:val="374151"/>
          <w:sz w:val="20"/>
          <w:szCs w:val="20"/>
        </w:rPr>
        <w:t xml:space="preserve">Tabel 3. Urutan modul</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912"/>
      </w:tblGrid>
      <w:tr>
        <w:trPr>
          <w:cantSplit/>
          <w:tblHeader/>
        </w:trPr>
        <w:tc>
          <w:tcPr>
            <w:tcW w:type="dxa" w:w="1500"/>
            <w:tcBorders>
              <w:top w:val="single" w:color="D1D5DB" w:sz="4"/>
              <w:left w:val="single" w:color="D1D5DB" w:sz="4"/>
              <w:bottom w:val="single" w:color="D1D5DB" w:sz="4"/>
              <w:right w:val="single" w:color="D1D5DB" w:sz="4"/>
            </w:tcBorders>
            <w:shd w:fill="1A6B3C"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Tahap</w:t>
            </w:r>
          </w:p>
        </w:tc>
        <w:tc>
          <w:tcPr>
            <w:tcW w:type="dxa" w:w="4000"/>
            <w:tcBorders>
              <w:top w:val="single" w:color="D1D5DB" w:sz="4"/>
              <w:left w:val="single" w:color="D1D5DB" w:sz="4"/>
              <w:bottom w:val="single" w:color="D1D5DB" w:sz="4"/>
              <w:right w:val="single" w:color="D1D5DB" w:sz="4"/>
            </w:tcBorders>
            <w:shd w:fill="1A6B3C"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Modul</w:t>
            </w:r>
          </w:p>
        </w:tc>
        <w:tc>
          <w:tcPr>
            <w:tcW w:type="dxa" w:w="3912"/>
            <w:tcBorders>
              <w:top w:val="single" w:color="D1D5DB" w:sz="4"/>
              <w:left w:val="single" w:color="D1D5DB" w:sz="4"/>
              <w:bottom w:val="single" w:color="D1D5DB" w:sz="4"/>
              <w:right w:val="single" w:color="D1D5DB" w:sz="4"/>
            </w:tcBorders>
            <w:shd w:fill="1A6B3C"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Dasar</w:t>
            </w:r>
          </w:p>
        </w:tc>
      </w:tr>
      <w:tr>
        <w:trPr>
          <w:cantSplit/>
        </w:trPr>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Inti</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Materi &amp; RPS terpusat; tugas dan umpan balik; nilai dan rubrik</w:t>
            </w:r>
          </w:p>
        </w:tc>
        <w:tc>
          <w:tcPr>
            <w:tcW w:type="dxa" w:w="3912"/>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Permintaan tinggi (15, 8, dan 9 dari 17), juga kebutuhan bukti mutu</w:t>
            </w:r>
          </w:p>
        </w:tc>
      </w:tr>
      <w:tr>
        <w:trPr>
          <w:cantSplit/>
        </w:trPr>
        <w:tc>
          <w:tcPr>
            <w:tcW w:type="dxa" w:w="1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Inti</w:t>
            </w:r>
          </w:p>
        </w:tc>
        <w:tc>
          <w:tcPr>
            <w:tcW w:type="dxa" w:w="4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Presensi mahasiswa dan dosen</w:t>
            </w:r>
          </w:p>
        </w:tc>
        <w:tc>
          <w:tcPr>
            <w:tcW w:type="dxa" w:w="391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Diminta 9 dari 17; kebutuhan institusi (SK mengajar, beban dosen)</w:t>
            </w:r>
          </w:p>
        </w:tc>
      </w:tr>
      <w:tr>
        <w:trPr>
          <w:cantSplit/>
        </w:trPr>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Inti ringan</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Video/rekaman kuliah dalam format hemat data</w:t>
            </w:r>
          </w:p>
        </w:tc>
        <w:tc>
          <w:tcPr>
            <w:tcW w:type="dxa" w:w="3912"/>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Diminta 5 dari 17; hambatan kuota 15 dari 17</w:t>
            </w:r>
          </w:p>
        </w:tc>
      </w:tr>
      <w:tr>
        <w:trPr>
          <w:cantSplit/>
        </w:trPr>
        <w:tc>
          <w:tcPr>
            <w:tcW w:type="dxa" w:w="1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Lanjutan</w:t>
            </w:r>
          </w:p>
        </w:tc>
        <w:tc>
          <w:tcPr>
            <w:tcW w:type="dxa" w:w="4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Forum, pengumuman dan notifikasi, evaluasi dosen</w:t>
            </w:r>
          </w:p>
        </w:tc>
        <w:tc>
          <w:tcPr>
            <w:tcW w:type="dxa" w:w="391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Permintaan menengah</w:t>
            </w:r>
          </w:p>
        </w:tc>
      </w:tr>
      <w:tr>
        <w:trPr>
          <w:cantSplit/>
        </w:trPr>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Lanjutan</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Peringatan dini dan ujian daring</w:t>
            </w:r>
          </w:p>
        </w:tc>
        <w:tc>
          <w:tcPr>
            <w:tcW w:type="dxa" w:w="3912"/>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Permintaan rendah pada survei ini</w:t>
            </w:r>
          </w:p>
        </w:tc>
      </w:tr>
    </w:tbl>
    <w:p>
      <w:pPr>
        <w:spacing w:after="80"/>
      </w:pPr>
    </w:p>
    <w:p>
      <w:pPr>
        <w:spacing w:after="120" w:line="300"/>
        <w:jc w:val="both"/>
      </w:pPr>
      <w:r>
        <w:rPr>
          <w:rFonts w:ascii="Calibri" w:cs="Calibri" w:eastAsia="Calibri" w:hAnsi="Calibri"/>
          <w:b/>
          <w:bCs/>
          <w:sz w:val="22"/>
          <w:szCs w:val="22"/>
        </w:rPr>
        <w:t xml:space="preserve">Rancangan untuk koneksi terbatas. </w:t>
      </w:r>
      <w:r>
        <w:rPr>
          <w:rFonts w:ascii="Calibri" w:cs="Calibri" w:eastAsia="Calibri" w:hAnsi="Calibri"/>
          <w:sz w:val="22"/>
          <w:szCs w:val="22"/>
        </w:rPr>
        <w:t xml:space="preserve">Karena 15 dari 17 responden melaporkan hambatan kuota atau koneksi, 6 melaporkan perangkat terbatas, dan 14 dari 17 memakai HP sebagai perangkat utama atau salah satunya, tampilan di HP menjadi syarat, bukan tambahan. Kriteria pemilihan platform perlu memuat aplikasi seluler, kemampuan mengunduh materi untuk dibaca tanpa koneksi, dan video dengan kualitas yang dapat diatur. Kemampuan tiap platform perlu diverifikasi pada uji coba, tidak cukup dari dokumentasi.</w:t>
      </w:r>
    </w:p>
    <w:p>
      <w:pPr>
        <w:spacing w:after="120" w:line="300"/>
        <w:jc w:val="both"/>
      </w:pPr>
      <w:r>
        <w:rPr>
          <w:rFonts w:ascii="Calibri" w:cs="Calibri" w:eastAsia="Calibri" w:hAnsi="Calibri"/>
          <w:b/>
          <w:bCs/>
          <w:sz w:val="22"/>
          <w:szCs w:val="22"/>
        </w:rPr>
        <w:t xml:space="preserve">Pelatihan. </w:t>
      </w:r>
      <w:r>
        <w:rPr>
          <w:rFonts w:ascii="Calibri" w:cs="Calibri" w:eastAsia="Calibri" w:hAnsi="Calibri"/>
          <w:sz w:val="22"/>
          <w:szCs w:val="22"/>
        </w:rPr>
        <w:t xml:space="preserve">Tidak ada responden yang menyatakan belum siap (9 siap, 8 mungkin). Format panduan yang dipilih seimbang: video singkat 8 dan tatap muka 7. Rancangan pelatihan: orientasi tatap muka per program studi di awal semester genap, dengan video pendek sebagai pendukung, dan jadwal pelatihan SISCA yang rinci sebagaimana diminta salah satu dosen. Mengingat bias pemilihan sendiri, kesiapan ini kemungkinan lebih tinggi daripada kesiapan seluruh sivitas.</w:t>
      </w:r>
    </w:p>
    <w:p>
      <w:pPr>
        <w:spacing w:after="120" w:line="300"/>
        <w:jc w:val="both"/>
      </w:pPr>
      <w:r>
        <w:rPr>
          <w:rFonts w:ascii="Calibri" w:cs="Calibri" w:eastAsia="Calibri" w:hAnsi="Calibri"/>
          <w:b/>
          <w:bCs/>
          <w:sz w:val="22"/>
          <w:szCs w:val="22"/>
        </w:rPr>
        <w:t xml:space="preserve">Kebijakan penggunaan. </w:t>
      </w:r>
      <w:r>
        <w:rPr>
          <w:rFonts w:ascii="Calibri" w:cs="Calibri" w:eastAsia="Calibri" w:hAnsi="Calibri"/>
          <w:sz w:val="22"/>
          <w:szCs w:val="22"/>
        </w:rPr>
        <w:t xml:space="preserve">Dua saran terbuka berkaitan dengan aturan, bukan fitur: materi diunggah minimal satu hari sebelum kelas, dan kelas karyawan yang mengutamakan daring dengan perkuliahan akhir pekan. Keduanya perlu dibahas sebagai kebijakan akademik (WK1 dan Prodi) agar LMS dikonfigurasi sesuai, misalnya jadwal rilis materi dan dukungan sesi sinkron.</w:t>
      </w:r>
    </w:p>
    <w:p>
      <w:pPr>
        <w:pStyle w:val="Heading2"/>
        <w:keepNext/>
        <w:spacing w:after="100" w:before="220"/>
      </w:pPr>
      <w:r>
        <w:rPr>
          <w:rFonts w:ascii="Calibri" w:cs="Calibri" w:eastAsia="Calibri" w:hAnsi="Calibri"/>
          <w:b/>
          <w:bCs/>
          <w:color w:val="14532D"/>
          <w:sz w:val="25"/>
          <w:szCs w:val="25"/>
        </w:rPr>
        <w:t xml:space="preserve">3.3 Perbandingan Opsi Platform</w:t>
      </w:r>
    </w:p>
    <w:p>
      <w:pPr>
        <w:keepNext/>
        <w:spacing w:after="80" w:before="160"/>
      </w:pPr>
      <w:r>
        <w:rPr>
          <w:rFonts w:ascii="Calibri" w:cs="Calibri" w:eastAsia="Calibri" w:hAnsi="Calibri"/>
          <w:b/>
          <w:bCs/>
          <w:color w:val="374151"/>
          <w:sz w:val="20"/>
          <w:szCs w:val="20"/>
        </w:rPr>
        <w:t xml:space="preserve">Tabel 4. Opsi dan kesesuaian dengan temuan (interpretasi penyusun)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700"/>
        <w:gridCol w:w="2112"/>
      </w:tblGrid>
      <w:tr>
        <w:trPr>
          <w:cantSplit/>
          <w:tblHeader/>
        </w:trPr>
        <w:tc>
          <w:tcPr>
            <w:tcW w:type="dxa" w:w="1700"/>
            <w:tcBorders>
              <w:top w:val="single" w:color="D1D5DB" w:sz="4"/>
              <w:left w:val="single" w:color="D1D5DB" w:sz="4"/>
              <w:bottom w:val="single" w:color="D1D5DB" w:sz="4"/>
              <w:right w:val="single" w:color="D1D5DB" w:sz="4"/>
            </w:tcBorders>
            <w:shd w:fill="1A6B3C"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Opsi</w:t>
            </w:r>
          </w:p>
        </w:tc>
        <w:tc>
          <w:tcPr>
            <w:tcW w:type="dxa" w:w="2900"/>
            <w:tcBorders>
              <w:top w:val="single" w:color="D1D5DB" w:sz="4"/>
              <w:left w:val="single" w:color="D1D5DB" w:sz="4"/>
              <w:bottom w:val="single" w:color="D1D5DB" w:sz="4"/>
              <w:right w:val="single" w:color="D1D5DB" w:sz="4"/>
            </w:tcBorders>
            <w:shd w:fill="1A6B3C"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Kesesuaian dengan temuan</w:t>
            </w:r>
          </w:p>
        </w:tc>
        <w:tc>
          <w:tcPr>
            <w:tcW w:type="dxa" w:w="2700"/>
            <w:tcBorders>
              <w:top w:val="single" w:color="D1D5DB" w:sz="4"/>
              <w:left w:val="single" w:color="D1D5DB" w:sz="4"/>
              <w:bottom w:val="single" w:color="D1D5DB" w:sz="4"/>
              <w:right w:val="single" w:color="D1D5DB" w:sz="4"/>
            </w:tcBorders>
            <w:shd w:fill="1A6B3C"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Kelemahan</w:t>
            </w:r>
          </w:p>
        </w:tc>
        <w:tc>
          <w:tcPr>
            <w:tcW w:type="dxa" w:w="2112"/>
            <w:tcBorders>
              <w:top w:val="single" w:color="D1D5DB" w:sz="4"/>
              <w:left w:val="single" w:color="D1D5DB" w:sz="4"/>
              <w:bottom w:val="single" w:color="D1D5DB" w:sz="4"/>
              <w:right w:val="single" w:color="D1D5DB" w:sz="4"/>
            </w:tcBorders>
            <w:shd w:fill="1A6B3C"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Syarat</w:t>
            </w:r>
          </w:p>
        </w:tc>
      </w:tr>
      <w:tr>
        <w:trPr>
          <w:cantSplit/>
        </w:trPr>
        <w:tc>
          <w:tcPr>
            <w:tcW w:type="dxa" w:w="17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0. Memaksimalkan SISCA</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Tidak mengharuskan sistem baru</w:t>
            </w:r>
          </w:p>
        </w:tc>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Pemakaian pembelajaran saat ini rendah (12 dari 17 jarang atau tidak pernah memakainya; fitur dominan jadwal dan nilai)</w:t>
            </w:r>
          </w:p>
        </w:tc>
        <w:tc>
          <w:tcPr>
            <w:tcW w:type="dxa" w:w="2112"/>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Hasil audit fitur e-learning</w:t>
            </w:r>
          </w:p>
        </w:tc>
      </w:tr>
      <w:tr>
        <w:trPr>
          <w:cantSplit/>
        </w:trPr>
        <w:tc>
          <w:tcPr>
            <w:tcW w:type="dxa" w:w="1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A. Moodle</w:t>
            </w:r>
          </w:p>
        </w:tc>
        <w:tc>
          <w:tcPr>
            <w:tcW w:type="dxa" w:w="2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Mencakup materi, rubrik, tugas, forum, dan presensi dengan jejak audit</w:t>
            </w:r>
          </w:p>
        </w:tc>
        <w:tc>
          <w:tcPr>
            <w:tcW w:type="dxa" w:w="2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Platform baru bagi semua pengguna; perlu hosting dan pelatihan</w:t>
            </w:r>
          </w:p>
        </w:tc>
        <w:tc>
          <w:tcPr>
            <w:tcW w:type="dxa" w:w="211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Kapasitas TI atau hosting terkelola; uji tampilan seluler</w:t>
            </w:r>
          </w:p>
        </w:tc>
      </w:tr>
      <w:tr>
        <w:trPr>
          <w:cantSplit/>
        </w:trPr>
        <w:tc>
          <w:tcPr>
            <w:tcW w:type="dxa" w:w="17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B. Google Classroom + Drive</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Dekat dengan kebiasaan (Meet 13, Drive 10, Classroom 10); adopsi cepat</w:t>
            </w:r>
          </w:p>
        </w:tc>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Jejak audit, rubrik, dan presensi terbatas; ketergantungan penyedia</w:t>
            </w:r>
          </w:p>
        </w:tc>
        <w:tc>
          <w:tcPr>
            <w:tcW w:type="dxa" w:w="2112"/>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Templat penilaian dan presensi terstandar</w:t>
            </w:r>
          </w:p>
        </w:tc>
      </w:tr>
      <w:tr>
        <w:trPr>
          <w:cantSplit/>
        </w:trPr>
        <w:tc>
          <w:tcPr>
            <w:tcW w:type="dxa" w:w="1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C. Bangun sendiri</w:t>
            </w:r>
          </w:p>
        </w:tc>
        <w:tc>
          <w:tcPr>
            <w:tcW w:type="dxa" w:w="2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Tidak sesuai</w:t>
            </w:r>
          </w:p>
        </w:tc>
        <w:tc>
          <w:tcPr>
            <w:tcW w:type="dxa" w:w="2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Risiko keamanan dan pemeliharaan</w:t>
            </w:r>
          </w:p>
        </w:tc>
        <w:tc>
          <w:tcPr>
            <w:tcW w:type="dxa" w:w="211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Tidak direkomendasikan</w:t>
            </w:r>
          </w:p>
        </w:tc>
      </w:tr>
    </w:tbl>
    <w:p>
      <w:pPr>
        <w:spacing w:after="80"/>
      </w:pPr>
    </w:p>
    <w:p>
      <w:pPr>
        <w:spacing w:after="120" w:line="300"/>
        <w:jc w:val="both"/>
      </w:pPr>
      <w:r>
        <w:rPr>
          <w:rFonts w:ascii="Calibri" w:cs="Calibri" w:eastAsia="Calibri" w:hAnsi="Calibri"/>
          <w:sz w:val="22"/>
          <w:szCs w:val="22"/>
        </w:rPr>
        <w:t xml:space="preserve">Biaya, kapasitas TI, dan jumlah pengguna tetap tidak tersedia pada dokumen yang diperiksa, sehingga tidak diestimasi dalam laporan ini.</w:t>
      </w:r>
    </w:p>
    <w:p>
      <w:pPr>
        <w:pStyle w:val="Heading2"/>
        <w:keepNext/>
        <w:spacing w:after="100" w:before="220"/>
      </w:pPr>
      <w:r>
        <w:rPr>
          <w:rFonts w:ascii="Calibri" w:cs="Calibri" w:eastAsia="Calibri" w:hAnsi="Calibri"/>
          <w:b/>
          <w:bCs/>
          <w:color w:val="14532D"/>
          <w:sz w:val="25"/>
          <w:szCs w:val="25"/>
        </w:rPr>
        <w:t xml:space="preserve">3.4 Risiko</w:t>
      </w:r>
    </w:p>
    <w:p>
      <w:pPr>
        <w:keepNext/>
        <w:spacing w:after="80" w:before="160"/>
      </w:pPr>
      <w:r>
        <w:rPr>
          <w:rFonts w:ascii="Calibri" w:cs="Calibri" w:eastAsia="Calibri" w:hAnsi="Calibri"/>
          <w:b/>
          <w:bCs/>
          <w:color w:val="374151"/>
          <w:sz w:val="20"/>
          <w:szCs w:val="20"/>
        </w:rPr>
        <w:t xml:space="preserve">Tabel 5. Risiko utama dan mitigasi</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000"/>
        <w:gridCol w:w="6412"/>
      </w:tblGrid>
      <w:tr>
        <w:trPr>
          <w:cantSplit/>
          <w:tblHeader/>
        </w:trPr>
        <w:tc>
          <w:tcPr>
            <w:tcW w:type="dxa" w:w="3000"/>
            <w:tcBorders>
              <w:top w:val="single" w:color="D1D5DB" w:sz="4"/>
              <w:left w:val="single" w:color="D1D5DB" w:sz="4"/>
              <w:bottom w:val="single" w:color="D1D5DB" w:sz="4"/>
              <w:right w:val="single" w:color="D1D5DB" w:sz="4"/>
            </w:tcBorders>
            <w:shd w:fill="1A6B3C"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Risiko</w:t>
            </w:r>
          </w:p>
        </w:tc>
        <w:tc>
          <w:tcPr>
            <w:tcW w:type="dxa" w:w="6412"/>
            <w:tcBorders>
              <w:top w:val="single" w:color="D1D5DB" w:sz="4"/>
              <w:left w:val="single" w:color="D1D5DB" w:sz="4"/>
              <w:bottom w:val="single" w:color="D1D5DB" w:sz="4"/>
              <w:right w:val="single" w:color="D1D5DB" w:sz="4"/>
            </w:tcBorders>
            <w:shd w:fill="1A6B3C"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Mitigasi</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Kuota dan koneksi pengguna</w:t>
            </w:r>
          </w:p>
        </w:tc>
        <w:tc>
          <w:tcPr>
            <w:tcW w:type="dxa" w:w="6412"/>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Materi ringan, video hemat data, unduhan untuk dibaca tanpa koneksi</w:t>
            </w:r>
          </w:p>
        </w:tc>
      </w:tr>
      <w:tr>
        <w:trPr>
          <w:cantSplit/>
        </w:trPr>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Adopsi rendah karena SISCA hampir tidak dipakai</w:t>
            </w:r>
          </w:p>
        </w:tc>
        <w:tc>
          <w:tcPr>
            <w:tcW w:type="dxa" w:w="641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Orientasi tatap muka, templat kelas dari RPS, pendampingan pilot</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Terlalu banyak aplikasi tersebar</w:t>
            </w:r>
          </w:p>
        </w:tc>
        <w:tc>
          <w:tcPr>
            <w:tcW w:type="dxa" w:w="6412"/>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Satu pintu masuk dan kebijakan jelas tentang alat yang dipakai</w:t>
            </w:r>
          </w:p>
        </w:tc>
      </w:tr>
      <w:tr>
        <w:trPr>
          <w:cantSplit/>
        </w:trPr>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Kebocoran data pribadi (UU No. 27 Tahun 2022)</w:t>
            </w:r>
          </w:p>
        </w:tc>
        <w:tc>
          <w:tcPr>
            <w:tcW w:type="dxa" w:w="641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Akun per pengguna, hak akses per peran, wajib ganti kata sandi awal</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Bias data survei</w:t>
            </w:r>
          </w:p>
        </w:tc>
        <w:tc>
          <w:tcPr>
            <w:tcW w:type="dxa" w:w="6412"/>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Lanjutkan survei dengan sasaran mahasiswa dan tenaga kependidikan</w:t>
            </w:r>
          </w:p>
        </w:tc>
      </w:tr>
    </w:tbl>
    <w:p>
      <w:pPr>
        <w:pStyle w:val="Heading2"/>
        <w:keepNext/>
        <w:spacing w:after="100" w:before="220"/>
      </w:pPr>
      <w:r>
        <w:rPr>
          <w:rFonts w:ascii="Calibri" w:cs="Calibri" w:eastAsia="Calibri" w:hAnsi="Calibri"/>
          <w:b/>
          <w:bCs/>
          <w:color w:val="14532D"/>
          <w:sz w:val="25"/>
          <w:szCs w:val="25"/>
        </w:rPr>
        <w:t xml:space="preserve">3.5 Garis Dasar dan Indikator Keberhasilan</w:t>
      </w:r>
    </w:p>
    <w:p>
      <w:pPr>
        <w:keepNext/>
        <w:spacing w:after="80" w:before="160"/>
      </w:pPr>
      <w:r>
        <w:rPr>
          <w:rFonts w:ascii="Calibri" w:cs="Calibri" w:eastAsia="Calibri" w:hAnsi="Calibri"/>
          <w:b/>
          <w:bCs/>
          <w:color w:val="374151"/>
          <w:sz w:val="20"/>
          <w:szCs w:val="20"/>
        </w:rPr>
        <w:t xml:space="preserve">Tabel 6. Indikator dengan garis dasar dari survei (target usulan, belum disepakati)</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412"/>
      </w:tblGrid>
      <w:tr>
        <w:trPr>
          <w:cantSplit/>
          <w:tblHeader/>
        </w:trPr>
        <w:tc>
          <w:tcPr>
            <w:tcW w:type="dxa" w:w="3600"/>
            <w:tcBorders>
              <w:top w:val="single" w:color="D1D5DB" w:sz="4"/>
              <w:left w:val="single" w:color="D1D5DB" w:sz="4"/>
              <w:bottom w:val="single" w:color="D1D5DB" w:sz="4"/>
              <w:right w:val="single" w:color="D1D5DB" w:sz="4"/>
            </w:tcBorders>
            <w:shd w:fill="1A6B3C"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Indikator</w:t>
            </w:r>
          </w:p>
        </w:tc>
        <w:tc>
          <w:tcPr>
            <w:tcW w:type="dxa" w:w="2400"/>
            <w:tcBorders>
              <w:top w:val="single" w:color="D1D5DB" w:sz="4"/>
              <w:left w:val="single" w:color="D1D5DB" w:sz="4"/>
              <w:bottom w:val="single" w:color="D1D5DB" w:sz="4"/>
              <w:right w:val="single" w:color="D1D5DB" w:sz="4"/>
            </w:tcBorders>
            <w:shd w:fill="1A6B3C"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Garis dasar (n = 17)</w:t>
            </w:r>
          </w:p>
        </w:tc>
        <w:tc>
          <w:tcPr>
            <w:tcW w:type="dxa" w:w="3412"/>
            <w:tcBorders>
              <w:top w:val="single" w:color="D1D5DB" w:sz="4"/>
              <w:left w:val="single" w:color="D1D5DB" w:sz="4"/>
              <w:bottom w:val="single" w:color="D1D5DB" w:sz="4"/>
              <w:right w:val="single" w:color="D1D5DB" w:sz="4"/>
            </w:tcBorders>
            <w:shd w:fill="1A6B3C"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Target</w:t>
            </w:r>
          </w:p>
        </w:tc>
      </w:tr>
      <w:tr>
        <w:trPr>
          <w:cantSplit/>
        </w:trPr>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Responden yang jarang atau tidak pernah memakai SISCA</w:t>
            </w:r>
          </w:p>
        </w:tc>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12 dari 17</w:t>
            </w:r>
          </w:p>
        </w:tc>
        <w:tc>
          <w:tcPr>
            <w:tcW w:type="dxa" w:w="3412"/>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Diturunkan setelah pelatihan</w:t>
            </w:r>
          </w:p>
        </w:tc>
      </w:tr>
      <w:tr>
        <w:trPr>
          <w:cantSplit/>
        </w:trPr>
        <w:tc>
          <w:tcPr>
            <w:tcW w:type="dxa" w:w="3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Kualitas koneksi menurut pengguna</w:t>
            </w:r>
          </w:p>
        </w:tc>
        <w:tc>
          <w:tcPr>
            <w:tcW w:type="dxa" w:w="2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4,0 dari 5</w:t>
            </w:r>
          </w:p>
        </w:tc>
        <w:tc>
          <w:tcPr>
            <w:tcW w:type="dxa" w:w="341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Tidak diturunkan oleh beban LMS</w:t>
            </w:r>
          </w:p>
        </w:tc>
      </w:tr>
      <w:tr>
        <w:trPr>
          <w:cantSplit/>
        </w:trPr>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Kelas pilot dengan RPS dan bahan ajar lengkap</w:t>
            </w:r>
          </w:p>
        </w:tc>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Belum diukur</w:t>
            </w:r>
          </w:p>
        </w:tc>
        <w:tc>
          <w:tcPr>
            <w:tcW w:type="dxa" w:w="3412"/>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100% pada kelas pilot</w:t>
            </w:r>
          </w:p>
        </w:tc>
      </w:tr>
      <w:tr>
        <w:trPr>
          <w:cantSplit/>
        </w:trPr>
        <w:tc>
          <w:tcPr>
            <w:tcW w:type="dxa" w:w="3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Kepuasan dan kemanfaatan LMS</w:t>
            </w:r>
          </w:p>
        </w:tc>
        <w:tc>
          <w:tcPr>
            <w:tcW w:type="dxa" w:w="2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Belum diukur</w:t>
            </w:r>
          </w:p>
        </w:tc>
        <w:tc>
          <w:tcPr>
            <w:tcW w:type="dxa" w:w="341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Ditetapkan setelah garis dasar pilot</w:t>
            </w:r>
          </w:p>
        </w:tc>
      </w:tr>
    </w:tbl>
    <w:p>
      <w:pPr>
        <w:spacing w:after="80"/>
      </w:pPr>
    </w:p>
    <w:p>
      <w:pPr>
        <w:keepNext/>
        <w:spacing w:after="80" w:before="160"/>
      </w:pPr>
      <w:r>
        <w:rPr>
          <w:rFonts w:ascii="Calibri" w:cs="Calibri" w:eastAsia="Calibri" w:hAnsi="Calibri"/>
          <w:b/>
          <w:bCs/>
          <w:color w:val="374151"/>
          <w:sz w:val="20"/>
          <w:szCs w:val="20"/>
        </w:rPr>
        <w:t xml:space="preserve">Peta jalan</w:t>
      </w:r>
    </w:p>
    <w:p>
      <w:pPr>
        <w:pStyle w:val="ListParagraph"/>
        <w:numPr>
          <w:ilvl w:val="0"/>
          <w:numId w:val="3"/>
        </w:numPr>
        <w:spacing w:after="70" w:line="290"/>
      </w:pPr>
      <w:r>
        <w:rPr>
          <w:rFonts w:ascii="Calibri" w:cs="Calibri" w:eastAsia="Calibri" w:hAnsi="Calibri"/>
          <w:b/>
          <w:bCs/>
          <w:sz w:val="22"/>
          <w:szCs w:val="22"/>
        </w:rPr>
        <w:t xml:space="preserve">Fase 0 (Oktober–Desember 2026): </w:t>
      </w:r>
      <w:r>
        <w:rPr>
          <w:rFonts w:ascii="Calibri" w:cs="Calibri" w:eastAsia="Calibri" w:hAnsi="Calibri"/>
          <w:sz w:val="22"/>
          <w:szCs w:val="22"/>
        </w:rPr>
        <w:t xml:space="preserve">audit SISCA, survei lanjutan, keputusan platform dan hosting, anggaran.</w:t>
      </w:r>
    </w:p>
    <w:p>
      <w:pPr>
        <w:pStyle w:val="ListParagraph"/>
        <w:numPr>
          <w:ilvl w:val="0"/>
          <w:numId w:val="3"/>
        </w:numPr>
        <w:spacing w:after="70" w:line="290"/>
      </w:pPr>
      <w:r>
        <w:rPr>
          <w:rFonts w:ascii="Calibri" w:cs="Calibri" w:eastAsia="Calibri" w:hAnsi="Calibri"/>
          <w:b/>
          <w:bCs/>
          <w:sz w:val="22"/>
          <w:szCs w:val="22"/>
        </w:rPr>
        <w:t xml:space="preserve">Pilot (semester genap 2026/2027): </w:t>
      </w:r>
      <w:r>
        <w:rPr>
          <w:rFonts w:ascii="Calibri" w:cs="Calibri" w:eastAsia="Calibri" w:hAnsi="Calibri"/>
          <w:sz w:val="22"/>
          <w:szCs w:val="22"/>
        </w:rPr>
        <w:t xml:space="preserve">5–8 mata kuliah dari kedua program studi, orientasi tatap muka.</w:t>
      </w:r>
    </w:p>
    <w:p>
      <w:pPr>
        <w:pStyle w:val="ListParagraph"/>
        <w:numPr>
          <w:ilvl w:val="0"/>
          <w:numId w:val="3"/>
        </w:numPr>
        <w:spacing w:after="70" w:line="290"/>
      </w:pPr>
      <w:r>
        <w:rPr>
          <w:rFonts w:ascii="Calibri" w:cs="Calibri" w:eastAsia="Calibri" w:hAnsi="Calibri"/>
          <w:b/>
          <w:bCs/>
          <w:sz w:val="22"/>
          <w:szCs w:val="22"/>
        </w:rPr>
        <w:t xml:space="preserve">Perluasan (TA 2027/2028): </w:t>
      </w:r>
      <w:r>
        <w:rPr>
          <w:rFonts w:ascii="Calibri" w:cs="Calibri" w:eastAsia="Calibri" w:hAnsi="Calibri"/>
          <w:sz w:val="22"/>
          <w:szCs w:val="22"/>
        </w:rPr>
        <w:t xml:space="preserve">seluruh mata kuliah, integrasi terjadwal dengan SISCA, SOP LMS.</w:t>
      </w:r>
    </w:p>
    <w:p>
      <w:pPr>
        <w:spacing w:after="100" w:line="300"/>
        <w:jc w:val="both"/>
      </w:pPr>
      <w:r>
        <w:rPr>
          <w:rFonts w:ascii="Calibri" w:cs="Calibri" w:eastAsia="Calibri" w:hAnsi="Calibri"/>
          <w:sz w:val="22"/>
          <w:szCs w:val="22"/>
        </w:rPr>
        <w:t xml:space="preserve">Satu semester pilot hanya menghasilkan bukti terbatas untuk LED pada April 2027.</w:t>
      </w:r>
    </w:p>
    <w:p>
      <w:pPr>
        <w:pStyle w:val="Heading1"/>
        <w:keepNext/>
        <w:pBdr>
          <w:bottom w:val="single" w:color="1A6B3C" w:sz="6" w:space="2"/>
        </w:pBdr>
        <w:spacing w:after="140" w:before="320"/>
      </w:pPr>
      <w:r>
        <w:rPr>
          <w:rFonts w:ascii="Calibri" w:cs="Calibri" w:eastAsia="Calibri" w:hAnsi="Calibri"/>
          <w:b/>
          <w:bCs/>
          <w:color w:val="1A6B3C"/>
          <w:sz w:val="30"/>
          <w:szCs w:val="30"/>
        </w:rPr>
        <w:t xml:space="preserve">4. Kesimpulan dan Rekomendasi</w:t>
      </w:r>
    </w:p>
    <w:p>
      <w:pPr>
        <w:pStyle w:val="Heading2"/>
        <w:keepNext/>
        <w:spacing w:after="100" w:before="220"/>
      </w:pPr>
      <w:r>
        <w:rPr>
          <w:rFonts w:ascii="Calibri" w:cs="Calibri" w:eastAsia="Calibri" w:hAnsi="Calibri"/>
          <w:b/>
          <w:bCs/>
          <w:color w:val="14532D"/>
          <w:sz w:val="25"/>
          <w:szCs w:val="25"/>
        </w:rPr>
        <w:t xml:space="preserve">4.1 Kesimpulan</w:t>
      </w:r>
    </w:p>
    <w:p>
      <w:pPr>
        <w:pStyle w:val="ListParagraph"/>
        <w:numPr>
          <w:ilvl w:val="0"/>
          <w:numId w:val="2"/>
        </w:numPr>
        <w:spacing w:after="80" w:line="290"/>
      </w:pPr>
      <w:r>
        <w:rPr>
          <w:rFonts w:ascii="Calibri" w:cs="Calibri" w:eastAsia="Calibri" w:hAnsi="Calibri"/>
          <w:sz w:val="22"/>
          <w:szCs w:val="22"/>
        </w:rPr>
        <w:t xml:space="preserve">Berdasarkan data, kebutuhan terkuat adalah materi dan RPS terpusat, sedangkan hambatan terbesar adalah koneksi.</w:t>
      </w:r>
    </w:p>
    <w:p>
      <w:pPr>
        <w:pStyle w:val="ListParagraph"/>
        <w:numPr>
          <w:ilvl w:val="0"/>
          <w:numId w:val="2"/>
        </w:numPr>
        <w:spacing w:after="80" w:line="290"/>
      </w:pPr>
      <w:r>
        <w:rPr>
          <w:rFonts w:ascii="Calibri" w:cs="Calibri" w:eastAsia="Calibri" w:hAnsi="Calibri"/>
          <w:sz w:val="22"/>
          <w:szCs w:val="22"/>
        </w:rPr>
        <w:t xml:space="preserve">Dapat diinterpretasikan bahwa SISCA belum menjadi sarana pembelajaran, sehingga rancangan harus mengasumsikan pengguna memulai dari alat umum (Drive, WhatsApp, Meet).</w:t>
      </w:r>
    </w:p>
    <w:p>
      <w:pPr>
        <w:pStyle w:val="ListParagraph"/>
        <w:numPr>
          <w:ilvl w:val="0"/>
          <w:numId w:val="2"/>
        </w:numPr>
        <w:spacing w:after="80" w:line="290"/>
      </w:pPr>
      <w:r>
        <w:rPr>
          <w:rFonts w:ascii="Calibri" w:cs="Calibri" w:eastAsia="Calibri" w:hAnsi="Calibri"/>
          <w:sz w:val="22"/>
          <w:szCs w:val="22"/>
        </w:rPr>
        <w:t xml:space="preserve">Pilihan platform belum dapat difinalkan karena fitur e-learning SISCA dan kemampuan integrasinya belum dikonfirmasi.</w:t>
      </w:r>
    </w:p>
    <w:p>
      <w:pPr>
        <w:pStyle w:val="Heading2"/>
        <w:keepNext/>
        <w:spacing w:after="100" w:before="220"/>
      </w:pPr>
      <w:r>
        <w:rPr>
          <w:rFonts w:ascii="Calibri" w:cs="Calibri" w:eastAsia="Calibri" w:hAnsi="Calibri"/>
          <w:b/>
          <w:bCs/>
          <w:color w:val="14532D"/>
          <w:sz w:val="25"/>
          <w:szCs w:val="25"/>
        </w:rPr>
        <w:t xml:space="preserve">4.2 Rekomendasi</w:t>
      </w:r>
    </w:p>
    <w:p>
      <w:pPr>
        <w:pStyle w:val="ListParagraph"/>
        <w:numPr>
          <w:ilvl w:val="0"/>
          <w:numId w:val="2"/>
        </w:numPr>
        <w:spacing w:after="80" w:line="290"/>
      </w:pPr>
      <w:r>
        <w:rPr>
          <w:rFonts w:ascii="Calibri" w:cs="Calibri" w:eastAsia="Calibri" w:hAnsi="Calibri"/>
          <w:sz w:val="22"/>
          <w:szCs w:val="22"/>
        </w:rPr>
        <w:t xml:space="preserve">Selesaikan langkah A1–A4 pada checklist LMS (kontak pengembang SISCA, audit fitur, ekspor/API, login tunggal). Hasilnya menentukan Opsi 0 atau Opsi A.</w:t>
      </w:r>
    </w:p>
    <w:p>
      <w:pPr>
        <w:pStyle w:val="ListParagraph"/>
        <w:numPr>
          <w:ilvl w:val="0"/>
          <w:numId w:val="2"/>
        </w:numPr>
        <w:spacing w:after="80" w:line="290"/>
      </w:pPr>
      <w:r>
        <w:rPr>
          <w:rFonts w:ascii="Calibri" w:cs="Calibri" w:eastAsia="Calibri" w:hAnsi="Calibri"/>
          <w:sz w:val="22"/>
          <w:szCs w:val="22"/>
        </w:rPr>
        <w:t xml:space="preserve">Jadikan tampilan HP dan penggunaan hemat data sebagai syarat tertulis pemilihan platform.</w:t>
      </w:r>
    </w:p>
    <w:p>
      <w:pPr>
        <w:pStyle w:val="ListParagraph"/>
        <w:numPr>
          <w:ilvl w:val="0"/>
          <w:numId w:val="2"/>
        </w:numPr>
        <w:spacing w:after="80" w:line="290"/>
      </w:pPr>
      <w:r>
        <w:rPr>
          <w:rFonts w:ascii="Calibri" w:cs="Calibri" w:eastAsia="Calibri" w:hAnsi="Calibri"/>
          <w:sz w:val="22"/>
          <w:szCs w:val="22"/>
        </w:rPr>
        <w:t xml:space="preserve">Mulai pilot dari modul inti pada Tabel 3, dengan orientasi tatap muka per program studi.</w:t>
      </w:r>
    </w:p>
    <w:p>
      <w:pPr>
        <w:pStyle w:val="ListParagraph"/>
        <w:numPr>
          <w:ilvl w:val="0"/>
          <w:numId w:val="2"/>
        </w:numPr>
        <w:spacing w:after="80" w:line="290"/>
      </w:pPr>
      <w:r>
        <w:rPr>
          <w:rFonts w:ascii="Calibri" w:cs="Calibri" w:eastAsia="Calibri" w:hAnsi="Calibri"/>
          <w:sz w:val="22"/>
          <w:szCs w:val="22"/>
        </w:rPr>
        <w:t xml:space="preserve">Lanjutkan survei dengan menyasar tenaga kependidikan dan mahasiswa Perbankan Syariah (masing-masing belum ada responden), lalu tinjau ulang temuan.</w:t>
      </w:r>
    </w:p>
    <w:p>
      <w:pPr>
        <w:pStyle w:val="ListParagraph"/>
        <w:numPr>
          <w:ilvl w:val="0"/>
          <w:numId w:val="2"/>
        </w:numPr>
        <w:spacing w:after="80" w:line="290"/>
      </w:pPr>
      <w:r>
        <w:rPr>
          <w:rFonts w:ascii="Calibri" w:cs="Calibri" w:eastAsia="Calibri" w:hAnsi="Calibri"/>
          <w:sz w:val="22"/>
          <w:szCs w:val="22"/>
        </w:rPr>
        <w:t xml:space="preserve">Bahas dua saran kebijakan, yaitu unggah materi minimal satu hari sebelum kelas dan pola daring untuk kelas karyawan, di tingkat WK1 dan Prodi; teruskan juga saran konfirmasi kehadiran dosen pada kelas luring. Isu-isu ini di luar fungsi LMS tetapi memengaruhi konfigurasinya.</w:t>
      </w:r>
    </w:p>
    <w:p>
      <w:pPr>
        <w:pStyle w:val="Heading1"/>
        <w:keepNext/>
        <w:pBdr>
          <w:bottom w:val="single" w:color="1A6B3C" w:sz="6" w:space="2"/>
        </w:pBdr>
        <w:spacing w:after="140" w:before="320"/>
      </w:pPr>
      <w:r>
        <w:rPr>
          <w:rFonts w:ascii="Calibri" w:cs="Calibri" w:eastAsia="Calibri" w:hAnsi="Calibri"/>
          <w:b/>
          <w:bCs/>
          <w:color w:val="1A6B3C"/>
          <w:sz w:val="30"/>
          <w:szCs w:val="30"/>
        </w:rPr>
        <w:t xml:space="preserve">Daftar Pustaka</w:t>
      </w:r>
    </w:p>
    <w:p>
      <w:pPr>
        <w:spacing w:after="100" w:line="280"/>
        <w:ind w:left="567" w:hanging="567"/>
        <w:jc w:val="left"/>
      </w:pPr>
      <w:r>
        <w:rPr>
          <w:rFonts w:ascii="Calibri" w:cs="Calibri" w:eastAsia="Calibri" w:hAnsi="Calibri"/>
          <w:sz w:val="22"/>
          <w:szCs w:val="22"/>
        </w:rPr>
        <w:t xml:space="preserve">Davis, F. D. (1989). Perceived usefulness, perceived ease of use, and user acceptance of information technology. </w:t>
      </w:r>
      <w:r>
        <w:rPr>
          <w:rFonts w:ascii="Calibri" w:cs="Calibri" w:eastAsia="Calibri" w:hAnsi="Calibri"/>
          <w:i/>
          <w:iCs/>
          <w:sz w:val="22"/>
          <w:szCs w:val="22"/>
        </w:rPr>
        <w:t xml:space="preserve">MIS Quarterly, 13</w:t>
      </w:r>
      <w:r>
        <w:rPr>
          <w:rFonts w:ascii="Calibri" w:cs="Calibri" w:eastAsia="Calibri" w:hAnsi="Calibri"/>
          <w:sz w:val="22"/>
          <w:szCs w:val="22"/>
        </w:rPr>
        <w:t xml:space="preserve">(3), 319–340. https://doi.org/10.2307/249008</w:t>
      </w:r>
    </w:p>
    <w:p>
      <w:pPr>
        <w:spacing w:after="100" w:line="280"/>
        <w:ind w:left="567" w:hanging="567"/>
        <w:jc w:val="left"/>
      </w:pPr>
      <w:r>
        <w:rPr>
          <w:rFonts w:ascii="Calibri" w:cs="Calibri" w:eastAsia="Calibri" w:hAnsi="Calibri"/>
          <w:sz w:val="22"/>
          <w:szCs w:val="22"/>
        </w:rPr>
        <w:t xml:space="preserve">DeLone, W. H., &amp; McLean, E. R. (2003). The DeLone and McLean model of information systems success: A ten-year update. </w:t>
      </w:r>
      <w:r>
        <w:rPr>
          <w:rFonts w:ascii="Calibri" w:cs="Calibri" w:eastAsia="Calibri" w:hAnsi="Calibri"/>
          <w:i/>
          <w:iCs/>
          <w:sz w:val="22"/>
          <w:szCs w:val="22"/>
        </w:rPr>
        <w:t xml:space="preserve">Journal of Management Information Systems, 19</w:t>
      </w:r>
      <w:r>
        <w:rPr>
          <w:rFonts w:ascii="Calibri" w:cs="Calibri" w:eastAsia="Calibri" w:hAnsi="Calibri"/>
          <w:sz w:val="22"/>
          <w:szCs w:val="22"/>
        </w:rPr>
        <w:t xml:space="preserve">(4), 9–30. https://doi.org/10.1080/07421222.2003.11045748</w:t>
      </w:r>
    </w:p>
    <w:p>
      <w:pPr>
        <w:spacing w:after="100" w:line="280"/>
        <w:ind w:left="567" w:hanging="567"/>
        <w:jc w:val="left"/>
      </w:pPr>
      <w:r>
        <w:rPr>
          <w:rFonts w:ascii="Calibri" w:cs="Calibri" w:eastAsia="Calibri" w:hAnsi="Calibri"/>
          <w:sz w:val="22"/>
          <w:szCs w:val="22"/>
        </w:rPr>
        <w:t xml:space="preserve">Garrison, D. R., Anderson, T., &amp; Archer, W. (2000). Critical inquiry in a text-based environment: Computer conferencing in higher education. </w:t>
      </w:r>
      <w:r>
        <w:rPr>
          <w:rFonts w:ascii="Calibri" w:cs="Calibri" w:eastAsia="Calibri" w:hAnsi="Calibri"/>
          <w:i/>
          <w:iCs/>
          <w:sz w:val="22"/>
          <w:szCs w:val="22"/>
        </w:rPr>
        <w:t xml:space="preserve">The Internet and Higher Education, 2</w:t>
      </w:r>
      <w:r>
        <w:rPr>
          <w:rFonts w:ascii="Calibri" w:cs="Calibri" w:eastAsia="Calibri" w:hAnsi="Calibri"/>
          <w:sz w:val="22"/>
          <w:szCs w:val="22"/>
        </w:rPr>
        <w:t xml:space="preserve">(2–3), 87–105. https://doi.org/10.1016/S1096-7516(00)00016-6</w:t>
      </w:r>
    </w:p>
    <w:p>
      <w:pPr>
        <w:spacing w:after="100" w:line="280"/>
        <w:ind w:left="567" w:hanging="567"/>
        <w:jc w:val="left"/>
      </w:pPr>
      <w:r>
        <w:rPr>
          <w:rFonts w:ascii="Calibri" w:cs="Calibri" w:eastAsia="Calibri" w:hAnsi="Calibri"/>
          <w:sz w:val="22"/>
          <w:szCs w:val="22"/>
        </w:rPr>
        <w:t xml:space="preserve">Kementerian Pendidikan, Kebudayaan, Riset, dan Teknologi. (2023). </w:t>
      </w:r>
      <w:r>
        <w:rPr>
          <w:rFonts w:ascii="Calibri" w:cs="Calibri" w:eastAsia="Calibri" w:hAnsi="Calibri"/>
          <w:i/>
          <w:iCs/>
          <w:sz w:val="22"/>
          <w:szCs w:val="22"/>
        </w:rPr>
        <w:t xml:space="preserve">Peraturan Menteri Pendidikan, Kebudayaan, Riset, dan Teknologi Nomor 53 Tahun 2023 tentang Penjaminan Mutu Pendidikan Tinggi.</w:t>
      </w:r>
    </w:p>
    <w:p>
      <w:pPr>
        <w:spacing w:after="100" w:line="280"/>
        <w:ind w:left="567" w:hanging="567"/>
        <w:jc w:val="left"/>
      </w:pPr>
      <w:r>
        <w:rPr>
          <w:rFonts w:ascii="Calibri" w:cs="Calibri" w:eastAsia="Calibri" w:hAnsi="Calibri"/>
          <w:sz w:val="22"/>
          <w:szCs w:val="22"/>
        </w:rPr>
        <w:t xml:space="preserve">Mayer, R. E. (2009). </w:t>
      </w:r>
      <w:r>
        <w:rPr>
          <w:rFonts w:ascii="Calibri" w:cs="Calibri" w:eastAsia="Calibri" w:hAnsi="Calibri"/>
          <w:i/>
          <w:iCs/>
          <w:sz w:val="22"/>
          <w:szCs w:val="22"/>
        </w:rPr>
        <w:t xml:space="preserve">Multimedia learning</w:t>
      </w:r>
      <w:r>
        <w:rPr>
          <w:rFonts w:ascii="Calibri" w:cs="Calibri" w:eastAsia="Calibri" w:hAnsi="Calibri"/>
          <w:sz w:val="22"/>
          <w:szCs w:val="22"/>
        </w:rPr>
        <w:t xml:space="preserve"> (2nd ed.). Cambridge University Press.</w:t>
      </w:r>
    </w:p>
    <w:p>
      <w:pPr>
        <w:spacing w:after="100" w:line="280"/>
        <w:ind w:left="567" w:hanging="567"/>
        <w:jc w:val="left"/>
      </w:pPr>
      <w:r>
        <w:rPr>
          <w:rFonts w:ascii="Calibri" w:cs="Calibri" w:eastAsia="Calibri" w:hAnsi="Calibri"/>
          <w:sz w:val="22"/>
          <w:szCs w:val="22"/>
        </w:rPr>
        <w:t xml:space="preserve">Republik Indonesia. (2022). </w:t>
      </w:r>
      <w:r>
        <w:rPr>
          <w:rFonts w:ascii="Calibri" w:cs="Calibri" w:eastAsia="Calibri" w:hAnsi="Calibri"/>
          <w:i/>
          <w:iCs/>
          <w:sz w:val="22"/>
          <w:szCs w:val="22"/>
        </w:rPr>
        <w:t xml:space="preserve">Undang-Undang Nomor 27 Tahun 2022 tentang Pelindungan Data Pribadi.</w:t>
      </w:r>
    </w:p>
    <w:p>
      <w:pPr>
        <w:spacing w:after="100" w:line="280"/>
        <w:ind w:left="567" w:hanging="567"/>
        <w:jc w:val="left"/>
      </w:pPr>
      <w:r>
        <w:rPr>
          <w:rFonts w:ascii="Calibri" w:cs="Calibri" w:eastAsia="Calibri" w:hAnsi="Calibri"/>
          <w:sz w:val="22"/>
          <w:szCs w:val="22"/>
        </w:rPr>
        <w:t xml:space="preserve">STEI Fithrah Insani. (2026). </w:t>
      </w:r>
      <w:r>
        <w:rPr>
          <w:rFonts w:ascii="Calibri" w:cs="Calibri" w:eastAsia="Calibri" w:hAnsi="Calibri"/>
          <w:i/>
          <w:iCs/>
          <w:sz w:val="22"/>
          <w:szCs w:val="22"/>
        </w:rPr>
        <w:t xml:space="preserve">Survei kebutuhan LMS STEI FI</w:t>
      </w:r>
      <w:r>
        <w:rPr>
          <w:rFonts w:ascii="Calibri" w:cs="Calibri" w:eastAsia="Calibri" w:hAnsi="Calibri"/>
          <w:sz w:val="22"/>
          <w:szCs w:val="22"/>
        </w:rPr>
        <w:t xml:space="preserve"> (n = 17) [Data primer internal, diambil 15 Oktober 2026].</w:t>
      </w:r>
    </w:p>
    <w:p>
      <w:pPr>
        <w:spacing w:after="100" w:line="280"/>
        <w:ind w:left="567" w:hanging="567"/>
        <w:jc w:val="left"/>
      </w:pPr>
      <w:r>
        <w:rPr>
          <w:rFonts w:ascii="Calibri" w:cs="Calibri" w:eastAsia="Calibri" w:hAnsi="Calibri"/>
          <w:sz w:val="22"/>
          <w:szCs w:val="22"/>
        </w:rPr>
        <w:t xml:space="preserve">STEI Fithrah Insani. (2026). </w:t>
      </w:r>
      <w:r>
        <w:rPr>
          <w:rFonts w:ascii="Calibri" w:cs="Calibri" w:eastAsia="Calibri" w:hAnsi="Calibri"/>
          <w:i/>
          <w:iCs/>
          <w:sz w:val="22"/>
          <w:szCs w:val="22"/>
        </w:rPr>
        <w:t xml:space="preserve">Repositori dokumen internal Kampus-STEI-FI</w:t>
      </w:r>
      <w:r>
        <w:rPr>
          <w:rFonts w:ascii="Calibri" w:cs="Calibri" w:eastAsia="Calibri" w:hAnsi="Calibri"/>
          <w:sz w:val="22"/>
          <w:szCs w:val="22"/>
        </w:rPr>
        <w:t xml:space="preserve"> [Dokumen internal].</w:t>
      </w:r>
    </w:p>
    <w:p>
      <w:pPr>
        <w:spacing w:after="120" w:line="300"/>
        <w:jc w:val="left"/>
      </w:pPr>
      <w:r>
        <w:rPr>
          <w:rFonts w:ascii="Calibri" w:cs="Calibri" w:eastAsia="Calibri" w:hAnsi="Calibri"/>
          <w:i/>
          <w:iCs/>
          <w:color w:val="6B7280"/>
          <w:sz w:val="19"/>
          <w:szCs w:val="19"/>
        </w:rPr>
        <w:t xml:space="preserve">Catatan: rujukan jurnal dan peraturan di atas belum diverifikasi ke sumber aslinya dan perlu dicek sebelum dokumen ini dipakai secara resmi.</w:t>
      </w:r>
    </w:p>
    <w:sectPr>
      <w:headerReference w:type="default" r:id="rId6"/>
      <w:footerReference w:type="default" r:id="rId7"/>
      <w:pgSz w:w="11906" w:h="16838" w:orient="portrait"/>
      <w:pgMar w:top="1304" w:right="1247" w:bottom="1247"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7"/>
        <w:szCs w:val="17"/>
      </w:rPr>
      <w:t xml:space="preserve">Halaman </w:t>
    </w:r>
    <w:r>
      <w:rPr>
        <w:rFonts w:ascii="Calibri" w:cs="Calibri" w:eastAsia="Calibri" w:hAnsi="Calibri"/>
        <w:color w:val="6B7280"/>
        <w:sz w:val="17"/>
        <w:szCs w:val="17"/>
      </w:rPr>
      <w:fldChar w:fldCharType="begin"/>
      <w:instrText xml:space="preserve">PAGE</w:instrText>
      <w:fldChar w:fldCharType="separate"/>
      <w:fldChar w:fldCharType="end"/>
    </w:r>
    <w:r>
      <w:rPr>
        <w:rFonts w:ascii="Calibri" w:cs="Calibri" w:eastAsia="Calibri" w:hAnsi="Calibri"/>
        <w:color w:val="6B7280"/>
        <w:sz w:val="17"/>
        <w:szCs w:val="17"/>
      </w:rPr>
      <w:t xml:space="preserve"> dari </w:t>
    </w:r>
    <w:r>
      <w:rPr>
        <w:rFonts w:ascii="Calibri" w:cs="Calibri" w:eastAsia="Calibri" w:hAnsi="Calibri"/>
        <w:color w:val="6B7280"/>
        <w:sz w:val="17"/>
        <w:szCs w:val="17"/>
      </w:rPr>
      <w:fldChar w:fldCharType="begin"/>
      <w:instrText xml:space="preserve">NUMPAGES</w:instrText>
      <w:fldChar w:fldCharType="separate"/>
      <w:fldChar w:fldCharType="end"/>
    </w:r>
    <w:r>
      <w:rPr>
        <w:rFonts w:ascii="Calibri" w:cs="Calibri" w:eastAsia="Calibri" w:hAnsi="Calibri"/>
        <w:color w:val="6B7280"/>
        <w:sz w:val="17"/>
        <w:szCs w:val="17"/>
      </w:rPr>
      <w:t xml:space="preserve">  ·  Dokumen internal, draf untuk pembahasan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jc w:val="left"/>
    </w:pPr>
    <w:r>
      <w:rPr>
        <w:rFonts w:ascii="Calibri" w:cs="Calibri" w:eastAsia="Calibri" w:hAnsi="Calibri"/>
        <w:color w:val="6B7280"/>
        <w:sz w:val="17"/>
        <w:szCs w:val="17"/>
      </w:rPr>
      <w:t xml:space="preserve">STEI Fithrah Insani — Konsep LMS (Versi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lvl w:ilvl="1" w:tentative="1">
      <w:start w:val="1"/>
      <w:numFmt w:val="bullet"/>
      <w:lvlText w:val="–"/>
      <w:lvlJc w:val="left"/>
      <w:pPr>
        <w:ind w:left="1134" w:hanging="283"/>
      </w:pPr>
    </w:lvl>
  </w:abstractNum>
  <w:abstractNum w:abstractNumId="3"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Konsep LMS STEI Fithrah Insani (Versi 2)</dc:title>
  <dc:creator>STEI Fithrah Insani</dc:creator>
  <cp:lastModifiedBy>Un-named</cp:lastModifiedBy>
  <cp:revision>1</cp:revision>
  <dcterms:created xsi:type="dcterms:W3CDTF">2026-10-15T02:45:02.290Z</dcterms:created>
  <dcterms:modified xsi:type="dcterms:W3CDTF">2026-10-15T02:45:02.291Z</dcterms:modified>
</cp:coreProperties>
</file>

<file path=docProps/custom.xml><?xml version="1.0" encoding="utf-8"?>
<Properties xmlns="http://schemas.openxmlformats.org/officeDocument/2006/custom-properties" xmlns:vt="http://schemas.openxmlformats.org/officeDocument/2006/docPropsVTypes"/>
</file>