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cfhnzkxr859" w:id="0"/>
      <w:bookmarkEnd w:id="0"/>
      <w:r w:rsidDel="00000000" w:rsidR="00000000" w:rsidRPr="00000000">
        <w:rPr>
          <w:rtl w:val="0"/>
        </w:rPr>
        <w:t xml:space="preserve">Especificación Técnica: Arquitectura de Relevo Celular</w:t>
      </w:r>
    </w:p>
    <w:p w:rsidR="00000000" w:rsidDel="00000000" w:rsidP="00000000" w:rsidRDefault="00000000" w:rsidRPr="00000000" w14:paraId="00000002">
      <w:pPr>
        <w:rPr/>
      </w:pPr>
      <w:r w:rsidDel="00000000" w:rsidR="00000000" w:rsidRPr="00000000">
        <w:rPr>
          <w:b w:val="1"/>
          <w:bCs w:val="1"/>
          <w:rtl w:val="0"/>
        </w:rPr>
        <w:t xml:space="preserve">Versión:</w:t>
      </w:r>
      <w:r w:rsidDel="00000000" w:rsidR="00000000" w:rsidRPr="00000000">
        <w:rPr>
          <w:rtl w:val="0"/>
        </w:rPr>
        <w:t xml:space="preserve"> 1.0</w:t>
        <w:br w:type="textWrapping"/>
      </w:r>
      <w:r w:rsidDel="00000000" w:rsidR="00000000" w:rsidRPr="00000000">
        <w:rPr>
          <w:b w:val="1"/>
          <w:bCs w:val="1"/>
          <w:rtl w:val="0"/>
        </w:rPr>
        <w:t xml:space="preserve">Enfoque:</w:t>
      </w:r>
      <w:r w:rsidDel="00000000" w:rsidR="00000000" w:rsidRPr="00000000">
        <w:rPr>
          <w:rtl w:val="0"/>
        </w:rPr>
        <w:t xml:space="preserve"> Orquestación Distribuida, Gobernanza de Esfuerzo y Control de Ventana de Contexto</w:t>
      </w:r>
    </w:p>
    <w:p w:rsidR="00000000" w:rsidDel="00000000" w:rsidP="00000000" w:rsidRDefault="00000000" w:rsidRPr="00000000" w14:paraId="00000003">
      <w:pPr>
        <w:pStyle w:val="Heading1"/>
        <w:rPr/>
      </w:pPr>
      <w:bookmarkStart w:colFirst="0" w:colLast="0" w:name="_98znsyfjmpcs" w:id="1"/>
      <w:bookmarkEnd w:id="1"/>
      <w:r w:rsidDel="00000000" w:rsidR="00000000" w:rsidRPr="00000000">
        <w:rPr>
          <w:rtl w:val="0"/>
        </w:rPr>
        <w:t xml:space="preserve">1. Filosofía de Diseño y Principios Rectores</w:t>
      </w:r>
    </w:p>
    <w:p w:rsidR="00000000" w:rsidDel="00000000" w:rsidP="00000000" w:rsidRDefault="00000000" w:rsidRPr="00000000" w14:paraId="00000004">
      <w:pPr>
        <w:rPr/>
      </w:pPr>
      <w:r w:rsidDel="00000000" w:rsidR="00000000" w:rsidRPr="00000000">
        <w:rPr>
          <w:rtl w:val="0"/>
        </w:rPr>
        <w:t xml:space="preserve">La arquitectura de Relevo Celular nace de la convergencia de dos principios fundamentales: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4"/>
        </w:numPr>
        <w:ind w:left="720" w:hanging="360"/>
      </w:pPr>
      <w:r w:rsidDel="00000000" w:rsidR="00000000" w:rsidRPr="00000000">
        <w:rPr>
          <w:b w:val="1"/>
          <w:bCs w:val="1"/>
          <w:rtl w:val="0"/>
        </w:rPr>
        <w:t xml:space="preserve">Gobernanza de recursos (Filosofía Relevo):</w:t>
      </w:r>
      <w:r w:rsidDel="00000000" w:rsidR="00000000" w:rsidRPr="00000000">
        <w:rPr>
          <w:rtl w:val="0"/>
        </w:rPr>
        <w:t xml:space="preserve"> Cada pieza de trabajo debe ser ejecutada por el modelo más económico que pueda resolverla correctamente, evaluada como caja negra contra un contrato explícito.</w:t>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Aislamiento y disciplina de contexto (Arquitectura Celular):</w:t>
      </w:r>
      <w:r w:rsidDel="00000000" w:rsidR="00000000" w:rsidRPr="00000000">
        <w:rPr>
          <w:rtl w:val="0"/>
        </w:rPr>
        <w:t xml:space="preserve"> Ningún agente debe heredar el historial completo del sistema. Cada sub-agente opera como un router de capa 3 con una interfaz estricta, manteniendo la ventana de contexto de trabajo disciplinada y por debajo de los 100.000 tokens.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 una tarea no puede ser evaluada comparando únicamente su entrada y su salida, la falla radica en el diseño de la delegación, no en la capacidad del modelo.</w:t>
      </w:r>
    </w:p>
    <w:p w:rsidR="00000000" w:rsidDel="00000000" w:rsidP="00000000" w:rsidRDefault="00000000" w:rsidRPr="00000000" w14:paraId="0000000A">
      <w:pPr>
        <w:pStyle w:val="Heading1"/>
        <w:rPr/>
      </w:pPr>
      <w:bookmarkStart w:colFirst="0" w:colLast="0" w:name="_v8tr5sx21zi6" w:id="2"/>
      <w:bookmarkEnd w:id="2"/>
      <w:r w:rsidDel="00000000" w:rsidR="00000000" w:rsidRPr="00000000">
        <w:rPr>
          <w:rtl w:val="0"/>
        </w:rPr>
        <w:t xml:space="preserve">2. Los Cuatro Pilares Contextuales</w:t>
      </w:r>
    </w:p>
    <w:p w:rsidR="00000000" w:rsidDel="00000000" w:rsidP="00000000" w:rsidRDefault="00000000" w:rsidRPr="00000000" w14:paraId="0000000B">
      <w:pPr>
        <w:rPr/>
      </w:pPr>
      <w:r w:rsidDel="00000000" w:rsidR="00000000" w:rsidRPr="00000000">
        <w:rPr>
          <w:rtl w:val="0"/>
        </w:rPr>
        <w:t xml:space="preserve">Toda interacción de procesamiento se descompone en cuatro cuadrantes:</w:t>
      </w:r>
    </w:p>
    <w:p w:rsidR="00000000" w:rsidDel="00000000" w:rsidP="00000000" w:rsidRDefault="00000000" w:rsidRPr="00000000" w14:paraId="0000000C">
      <w:pPr>
        <w:pStyle w:val="Heading2"/>
        <w:rPr/>
      </w:pPr>
      <w:bookmarkStart w:colFirst="0" w:colLast="0" w:name="_kxw59j9bxw78" w:id="3"/>
      <w:bookmarkEnd w:id="3"/>
      <w:r w:rsidDel="00000000" w:rsidR="00000000" w:rsidRPr="00000000">
        <w:rPr>
          <w:rtl w:val="0"/>
        </w:rPr>
        <w:t xml:space="preserve">A. Caché (El Invariante)</w:t>
      </w:r>
    </w:p>
    <w:p w:rsidR="00000000" w:rsidDel="00000000" w:rsidP="00000000" w:rsidRDefault="00000000" w:rsidRPr="00000000" w14:paraId="0000000D">
      <w:pPr>
        <w:numPr>
          <w:ilvl w:val="0"/>
          <w:numId w:val="1"/>
        </w:numPr>
        <w:ind w:left="720" w:hanging="360"/>
      </w:pPr>
      <w:r w:rsidDel="00000000" w:rsidR="00000000" w:rsidRPr="00000000">
        <w:rPr>
          <w:b w:val="1"/>
          <w:bCs w:val="1"/>
          <w:rtl w:val="0"/>
        </w:rPr>
        <w:t xml:space="preserve">Definición:</w:t>
      </w:r>
      <w:r w:rsidDel="00000000" w:rsidR="00000000" w:rsidRPr="00000000">
        <w:rPr>
          <w:rtl w:val="0"/>
        </w:rPr>
        <w:t xml:space="preserve"> Bloque estático compuesto por el contrato de trabajo, el esquema de validación y las reglas del entorno.</w:t>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Función:</w:t>
      </w:r>
      <w:r w:rsidDel="00000000" w:rsidR="00000000" w:rsidRPr="00000000">
        <w:rPr>
          <w:rtl w:val="0"/>
        </w:rPr>
        <w:t xml:space="preserve"> Diseñado para aprovechar el </w:t>
      </w:r>
      <w:r w:rsidDel="00000000" w:rsidR="00000000" w:rsidRPr="00000000">
        <w:rPr>
          <w:i w:val="1"/>
          <w:iCs w:val="1"/>
          <w:rtl w:val="0"/>
        </w:rPr>
        <w:t xml:space="preserve">prompt caching</w:t>
      </w:r>
      <w:r w:rsidDel="00000000" w:rsidR="00000000" w:rsidRPr="00000000">
        <w:rPr>
          <w:rtl w:val="0"/>
        </w:rPr>
        <w:t xml:space="preserve"> del proveedor de IA. No cambia entre ejecuciones del mismo lote, reduciendo el costo de entrada hasta en un 90%.</w:t>
      </w:r>
    </w:p>
    <w:p w:rsidR="00000000" w:rsidDel="00000000" w:rsidP="00000000" w:rsidRDefault="00000000" w:rsidRPr="00000000" w14:paraId="0000000F">
      <w:pPr>
        <w:pStyle w:val="Heading2"/>
        <w:rPr/>
      </w:pPr>
      <w:bookmarkStart w:colFirst="0" w:colLast="0" w:name="_cvgd4jd4osjh" w:id="4"/>
      <w:bookmarkEnd w:id="4"/>
      <w:r w:rsidDel="00000000" w:rsidR="00000000" w:rsidRPr="00000000">
        <w:rPr>
          <w:rtl w:val="0"/>
        </w:rPr>
        <w:t xml:space="preserve">B. Input (El Lote Caliente)</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Definición:</w:t>
      </w:r>
      <w:r w:rsidDel="00000000" w:rsidR="00000000" w:rsidRPr="00000000">
        <w:rPr>
          <w:rtl w:val="0"/>
        </w:rPr>
        <w:t xml:space="preserve"> Conjunto atómico y explícito de datos a procesar (listas de rutas, IDs, fragmentos de registros).</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Regla:</w:t>
      </w:r>
      <w:r w:rsidDel="00000000" w:rsidR="00000000" w:rsidRPr="00000000">
        <w:rPr>
          <w:rtl w:val="0"/>
        </w:rPr>
        <w:t xml:space="preserve"> Libre de historiales de conversación, transcripciones anteriores o razonamientos de otros agentes.</w:t>
      </w:r>
    </w:p>
    <w:p w:rsidR="00000000" w:rsidDel="00000000" w:rsidP="00000000" w:rsidRDefault="00000000" w:rsidRPr="00000000" w14:paraId="00000012">
      <w:pPr>
        <w:pStyle w:val="Heading2"/>
        <w:rPr/>
      </w:pPr>
      <w:bookmarkStart w:colFirst="0" w:colLast="0" w:name="_4mru3toe99y7" w:id="5"/>
      <w:bookmarkEnd w:id="5"/>
      <w:r w:rsidDel="00000000" w:rsidR="00000000" w:rsidRPr="00000000">
        <w:rPr>
          <w:rtl w:val="0"/>
        </w:rPr>
        <w:t xml:space="preserve">C. Célula Router (Lógica de Decisión)</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Definición:</w:t>
      </w:r>
      <w:r w:rsidDel="00000000" w:rsidR="00000000" w:rsidRPr="00000000">
        <w:rPr>
          <w:rtl w:val="0"/>
        </w:rPr>
        <w:t xml:space="preserve"> La unidad ejecutora (sea script o modelo) actúa con criterio de red.</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Acción:</w:t>
      </w:r>
      <w:r w:rsidDel="00000000" w:rsidR="00000000" w:rsidRPr="00000000">
        <w:rPr>
          <w:rtl w:val="0"/>
        </w:rPr>
        <w:t xml:space="preserve"> Inspecciona el payload. Si un ítem no calza con las precondiciones, no inventa ni fuerza una deducción: emite el estado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 o señal de bypass y continúa con el siguiente ítem del lote.</w:t>
      </w:r>
    </w:p>
    <w:p w:rsidR="00000000" w:rsidDel="00000000" w:rsidP="00000000" w:rsidRDefault="00000000" w:rsidRPr="00000000" w14:paraId="00000015">
      <w:pPr>
        <w:pStyle w:val="Heading2"/>
        <w:rPr/>
      </w:pPr>
      <w:bookmarkStart w:colFirst="0" w:colLast="0" w:name="_3zfg6icwrc" w:id="6"/>
      <w:bookmarkEnd w:id="6"/>
      <w:r w:rsidDel="00000000" w:rsidR="00000000" w:rsidRPr="00000000">
        <w:rPr>
          <w:rtl w:val="0"/>
        </w:rPr>
        <w:t xml:space="preserve">D. Output (Interfaz Estricta Anti-Bloat)</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Definición:</w:t>
      </w:r>
      <w:r w:rsidDel="00000000" w:rsidR="00000000" w:rsidRPr="00000000">
        <w:rPr>
          <w:rtl w:val="0"/>
        </w:rPr>
        <w:t xml:space="preserve"> Estructura pura de datos para el revisor o script de validación.</w:t>
      </w:r>
    </w:p>
    <w:p w:rsidR="00000000" w:rsidDel="00000000" w:rsidP="00000000" w:rsidRDefault="00000000" w:rsidRPr="00000000" w14:paraId="00000017">
      <w:pPr>
        <w:numPr>
          <w:ilvl w:val="0"/>
          <w:numId w:val="1"/>
        </w:numPr>
        <w:ind w:left="720" w:hanging="360"/>
      </w:pPr>
      <w:r w:rsidDel="00000000" w:rsidR="00000000" w:rsidRPr="00000000">
        <w:rPr>
          <w:b w:val="1"/>
          <w:bCs w:val="1"/>
          <w:rtl w:val="0"/>
        </w:rPr>
        <w:t xml:space="preserve">Regla:</w:t>
      </w:r>
      <w:r w:rsidDel="00000000" w:rsidR="00000000" w:rsidRPr="00000000">
        <w:rPr>
          <w:rtl w:val="0"/>
        </w:rPr>
        <w:t xml:space="preserve"> Quedan terminantemente prohibidas las introducciones, disculpas, explicaciones de proceso o despedidas. La salida contiene exclusivamente el artefacto procesado y un bloque mínimo de dependencias.</w:t>
      </w:r>
    </w:p>
    <w:p w:rsidR="00000000" w:rsidDel="00000000" w:rsidP="00000000" w:rsidRDefault="00000000" w:rsidRPr="00000000" w14:paraId="00000018">
      <w:pPr>
        <w:pStyle w:val="Heading1"/>
        <w:rPr/>
      </w:pPr>
      <w:bookmarkStart w:colFirst="0" w:colLast="0" w:name="_up7k9eghb9ye" w:id="7"/>
      <w:bookmarkEnd w:id="7"/>
      <w:r w:rsidDel="00000000" w:rsidR="00000000" w:rsidRPr="00000000">
        <w:rPr>
          <w:rtl w:val="0"/>
        </w:rPr>
        <w:t xml:space="preserve">3. Estratificación por Niveles y Esfuerzo</w:t>
      </w:r>
    </w:p>
    <w:p w:rsidR="00000000" w:rsidDel="00000000" w:rsidP="00000000" w:rsidRDefault="00000000" w:rsidRPr="00000000" w14:paraId="00000019">
      <w:pPr>
        <w:rPr/>
      </w:pPr>
      <w:r w:rsidDel="00000000" w:rsidR="00000000" w:rsidRPr="00000000">
        <w:rPr>
          <w:rtl w:val="0"/>
        </w:rPr>
        <w:t xml:space="preserve">El orquestador asigna cada tarea al nivel más bajo que garantice cumplimiento verificable: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B">
            <w:pPr>
              <w:rPr/>
            </w:pPr>
            <w:r w:rsidDel="00000000" w:rsidR="00000000" w:rsidRPr="00000000">
              <w:rPr>
                <w:rtl w:val="0"/>
              </w:rPr>
              <w:t xml:space="preserve">Nivel</w:t>
            </w:r>
          </w:p>
        </w:tc>
        <w:tc>
          <w:tcPr/>
          <w:p w:rsidR="00000000" w:rsidDel="00000000" w:rsidP="00000000" w:rsidRDefault="00000000" w:rsidRPr="00000000" w14:paraId="0000001C">
            <w:pPr>
              <w:rPr/>
            </w:pPr>
            <w:r w:rsidDel="00000000" w:rsidR="00000000" w:rsidRPr="00000000">
              <w:rPr>
                <w:rtl w:val="0"/>
              </w:rPr>
              <w:t xml:space="preserve">Ejecutor</w:t>
            </w:r>
          </w:p>
        </w:tc>
        <w:tc>
          <w:tcPr/>
          <w:p w:rsidR="00000000" w:rsidDel="00000000" w:rsidP="00000000" w:rsidRDefault="00000000" w:rsidRPr="00000000" w14:paraId="0000001D">
            <w:pPr>
              <w:rPr/>
            </w:pPr>
            <w:r w:rsidDel="00000000" w:rsidR="00000000" w:rsidRPr="00000000">
              <w:rPr>
                <w:rtl w:val="0"/>
              </w:rPr>
              <w:t xml:space="preserve">Tipo de Tarea</w:t>
            </w:r>
          </w:p>
        </w:tc>
        <w:tc>
          <w:tcPr/>
          <w:p w:rsidR="00000000" w:rsidDel="00000000" w:rsidP="00000000" w:rsidRDefault="00000000" w:rsidRPr="00000000" w14:paraId="0000001E">
            <w:pPr>
              <w:rPr/>
            </w:pPr>
            <w:r w:rsidDel="00000000" w:rsidR="00000000" w:rsidRPr="00000000">
              <w:rPr>
                <w:rtl w:val="0"/>
              </w:rPr>
              <w:t xml:space="preserve">Esfuerzo Esperado</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Script</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Bash / Python local</w:t>
            </w:r>
          </w:p>
        </w:tc>
        <w:tc>
          <w:tcPr/>
          <w:p w:rsidR="00000000" w:rsidDel="00000000" w:rsidP="00000000" w:rsidRDefault="00000000" w:rsidRPr="00000000" w14:paraId="00000021">
            <w:pPr>
              <w:rPr/>
            </w:pPr>
            <w:r w:rsidDel="00000000" w:rsidR="00000000" w:rsidRPr="00000000">
              <w:rPr>
                <w:rtl w:val="0"/>
              </w:rPr>
              <w:t xml:space="preserve">Reglas 100% deterministas (mover, parsear regex, conteos, validar llaves).</w:t>
            </w:r>
          </w:p>
        </w:tc>
        <w:tc>
          <w:tcPr/>
          <w:p w:rsidR="00000000" w:rsidDel="00000000" w:rsidP="00000000" w:rsidRDefault="00000000" w:rsidRPr="00000000" w14:paraId="00000022">
            <w:pPr>
              <w:rPr/>
            </w:pPr>
            <w:r w:rsidDel="00000000" w:rsidR="00000000" w:rsidRPr="00000000">
              <w:rPr>
                <w:rtl w:val="0"/>
              </w:rPr>
              <w:t xml:space="preserve">Nulo (0 tokens de modelo).</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Bulldozer</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Modelo ligero / económico</w:t>
            </w:r>
          </w:p>
        </w:tc>
        <w:tc>
          <w:tcPr/>
          <w:p w:rsidR="00000000" w:rsidDel="00000000" w:rsidP="00000000" w:rsidRDefault="00000000" w:rsidRPr="00000000" w14:paraId="00000025">
            <w:pPr>
              <w:rPr/>
            </w:pPr>
            <w:r w:rsidDel="00000000" w:rsidR="00000000" w:rsidRPr="00000000">
              <w:rPr>
                <w:rtl w:val="0"/>
              </w:rPr>
              <w:t xml:space="preserve">Extracción mecánica, clasificación con reglas cerradas, resúmenes literales.</w:t>
            </w:r>
          </w:p>
        </w:tc>
        <w:tc>
          <w:tcPr/>
          <w:p w:rsidR="00000000" w:rsidDel="00000000" w:rsidP="00000000" w:rsidRDefault="00000000" w:rsidRPr="00000000" w14:paraId="00000026">
            <w:pPr>
              <w:rPr/>
            </w:pPr>
            <w:r w:rsidDel="00000000" w:rsidR="00000000" w:rsidRPr="00000000">
              <w:rPr>
                <w:rtl w:val="0"/>
              </w:rPr>
              <w:t xml:space="preserve">Mecánico (baja variabilidad).</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Operario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rtl w:val="0"/>
              </w:rPr>
              <w:t xml:space="preserve">Modelo intermedio</w:t>
            </w:r>
          </w:p>
        </w:tc>
        <w:tc>
          <w:tcPr/>
          <w:p w:rsidR="00000000" w:rsidDel="00000000" w:rsidP="00000000" w:rsidRDefault="00000000" w:rsidRPr="00000000" w14:paraId="00000029">
            <w:pPr>
              <w:rPr/>
            </w:pPr>
            <w:r w:rsidDel="00000000" w:rsidR="00000000" w:rsidRPr="00000000">
              <w:rPr>
                <w:rtl w:val="0"/>
              </w:rPr>
              <w:t xml:space="preserve">Juicio acotado, aplicación de patrones con variación contextual, criterios difusos.</w:t>
            </w:r>
          </w:p>
        </w:tc>
        <w:tc>
          <w:tcPr/>
          <w:p w:rsidR="00000000" w:rsidDel="00000000" w:rsidP="00000000" w:rsidRDefault="00000000" w:rsidRPr="00000000" w14:paraId="0000002A">
            <w:pPr>
              <w:rPr/>
            </w:pPr>
            <w:r w:rsidDel="00000000" w:rsidR="00000000" w:rsidRPr="00000000">
              <w:rPr>
                <w:rtl w:val="0"/>
              </w:rPr>
              <w:t xml:space="preserve">Juicio acotado (esfuerzo medio).</w:t>
            </w:r>
          </w:p>
        </w:tc>
      </w:tr>
      <w:tr>
        <w:trPr>
          <w:cantSplit w:val="0"/>
          <w:tblHeader w:val="0"/>
        </w:trPr>
        <w:tc>
          <w:tcPr/>
          <w:p w:rsidR="00000000" w:rsidDel="00000000" w:rsidP="00000000" w:rsidRDefault="00000000" w:rsidRPr="00000000" w14:paraId="0000002B">
            <w:pPr>
              <w:rPr/>
            </w:pPr>
            <w:r w:rsidDel="00000000" w:rsidR="00000000" w:rsidRPr="00000000">
              <w:rPr>
                <w:b w:val="1"/>
                <w:bCs w:val="1"/>
                <w:rtl w:val="0"/>
              </w:rPr>
              <w:t xml:space="preserve">Insignia</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Modelo de frontera</w:t>
            </w:r>
          </w:p>
        </w:tc>
        <w:tc>
          <w:tcPr/>
          <w:p w:rsidR="00000000" w:rsidDel="00000000" w:rsidP="00000000" w:rsidRDefault="00000000" w:rsidRPr="00000000" w14:paraId="0000002D">
            <w:pPr>
              <w:rPr/>
            </w:pPr>
            <w:r w:rsidDel="00000000" w:rsidR="00000000" w:rsidRPr="00000000">
              <w:rPr>
                <w:rtl w:val="0"/>
              </w:rPr>
              <w:t xml:space="preserve">Problemas ambiguos, arquitectura global o síntesis que no toleran fragmentación.</w:t>
            </w:r>
          </w:p>
        </w:tc>
        <w:tc>
          <w:tcPr/>
          <w:p w:rsidR="00000000" w:rsidDel="00000000" w:rsidP="00000000" w:rsidRDefault="00000000" w:rsidRPr="00000000" w14:paraId="0000002E">
            <w:pPr>
              <w:rPr/>
            </w:pPr>
            <w:r w:rsidDel="00000000" w:rsidR="00000000" w:rsidRPr="00000000">
              <w:rPr>
                <w:rtl w:val="0"/>
              </w:rPr>
              <w:t xml:space="preserve">Juicio abierto (esfuerzo máximo).</w:t>
            </w:r>
          </w:p>
        </w:tc>
      </w:tr>
    </w:tbl>
    <w:p w:rsidR="00000000" w:rsidDel="00000000" w:rsidP="00000000" w:rsidRDefault="00000000" w:rsidRPr="00000000" w14:paraId="0000002F">
      <w:pPr>
        <w:pStyle w:val="Heading1"/>
        <w:rPr/>
      </w:pPr>
      <w:bookmarkStart w:colFirst="0" w:colLast="0" w:name="_6jrhgmugb0lg" w:id="8"/>
      <w:bookmarkEnd w:id="8"/>
      <w:r w:rsidDel="00000000" w:rsidR="00000000" w:rsidRPr="00000000">
        <w:rPr>
          <w:rtl w:val="0"/>
        </w:rPr>
        <w:t xml:space="preserve">4. Gobernanza del Lote: Techo y Piso</w:t>
      </w:r>
    </w:p>
    <w:p w:rsidR="00000000" w:rsidDel="00000000" w:rsidP="00000000" w:rsidRDefault="00000000" w:rsidRPr="00000000" w14:paraId="00000030">
      <w:pPr>
        <w:numPr>
          <w:ilvl w:val="0"/>
          <w:numId w:val="3"/>
        </w:numPr>
        <w:ind w:left="720" w:hanging="360"/>
      </w:pPr>
      <w:r w:rsidDel="00000000" w:rsidR="00000000" w:rsidRPr="00000000">
        <w:rPr>
          <w:b w:val="1"/>
          <w:bCs w:val="1"/>
          <w:rtl w:val="0"/>
        </w:rPr>
        <w:t xml:space="preserve">El Piso (Costo de Arranque):</w:t>
      </w:r>
      <w:r w:rsidDel="00000000" w:rsidR="00000000" w:rsidRPr="00000000">
        <w:rPr>
          <w:rtl w:val="0"/>
        </w:rPr>
        <w:t xml:space="preserve"> Instanciar un sub-agente tiene un costo base de tokens de inicio de sesión. Si el lote es tan pequeño que el arranque pesa más que la tarea, el orquestador lo resuelve localmente mediante un script o en su propia sesión sin delegar.</w:t>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El Techo (Límite de Revisión):</w:t>
      </w:r>
      <w:r w:rsidDel="00000000" w:rsidR="00000000" w:rsidRPr="00000000">
        <w:rPr>
          <w:rtl w:val="0"/>
        </w:rPr>
        <w:t xml:space="preserve"> El tamaño máximo del lote no lo fija la capacidad de memoria del modelo trabajador, sino la capacidad del revisor para auditar la entrada contra la salida de un solo vistazo.</w:t>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Lote Piloto:</w:t>
      </w:r>
      <w:r w:rsidDel="00000000" w:rsidR="00000000" w:rsidRPr="00000000">
        <w:rPr>
          <w:rtl w:val="0"/>
        </w:rPr>
        <w:t xml:space="preserve"> Antes de paralelizar en decenas de lotes, se ejecuta un lote piloto (N=1). Si es aprobado, se lanza el resto de la oleada; si falla, se corrige el contrato antes de propagar el error.</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Aislamiento en Paralelo:</w:t>
      </w:r>
      <w:r w:rsidDel="00000000" w:rsidR="00000000" w:rsidRPr="00000000">
        <w:rPr>
          <w:rtl w:val="0"/>
        </w:rPr>
        <w:t xml:space="preserve"> Dos agentes concurrentes jamás operan sobre el mismo recurso o archivo simultáneamente.</w:t>
      </w:r>
    </w:p>
    <w:p w:rsidR="00000000" w:rsidDel="00000000" w:rsidP="00000000" w:rsidRDefault="00000000" w:rsidRPr="00000000" w14:paraId="00000034">
      <w:pPr>
        <w:pStyle w:val="Heading1"/>
        <w:rPr/>
      </w:pPr>
      <w:bookmarkStart w:colFirst="0" w:colLast="0" w:name="_l283q9og99no" w:id="9"/>
      <w:bookmarkEnd w:id="9"/>
      <w:r w:rsidDel="00000000" w:rsidR="00000000" w:rsidRPr="00000000">
        <w:rPr>
          <w:rtl w:val="0"/>
        </w:rPr>
        <w:t xml:space="preserve">5. Auditoría y Revisión en Dos Capas</w:t>
      </w:r>
    </w:p>
    <w:p w:rsidR="00000000" w:rsidDel="00000000" w:rsidP="00000000" w:rsidRDefault="00000000" w:rsidRPr="00000000" w14:paraId="00000035">
      <w:pPr>
        <w:rPr/>
      </w:pPr>
      <w:r w:rsidDel="00000000" w:rsidR="00000000" w:rsidRPr="00000000">
        <w:rPr>
          <w:rtl w:val="0"/>
        </w:rPr>
        <w:t xml:space="preserve">La revisión opera como caja negra (el revisor solo ve el contrato y la salida; jamás ve el razonamiento interno del agente):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Primera Vista (Mecánica - Costo 0 tokens):</w:t>
      </w:r>
      <w:r w:rsidDel="00000000" w:rsidR="00000000" w:rsidRPr="00000000">
        <w:rPr>
          <w:rtl w:val="0"/>
        </w:rPr>
        <w:t xml:space="preserve"> Ejecutada por un script local. Comprueba correspondencia 1:1 entre entradas y salidas, formato estricto, conteos de filas y presencia de banderas </w:t>
      </w:r>
      <w:r w:rsidDel="00000000" w:rsidR="00000000" w:rsidRPr="00000000">
        <w:rPr>
          <w:rFonts w:ascii="Roboto Mono" w:cs="Roboto Mono" w:eastAsia="Roboto Mono" w:hAnsi="Roboto Mono"/>
          <w:color w:val="188038"/>
          <w:rtl w:val="0"/>
        </w:rPr>
        <w:t xml:space="preserve">PENDIENTE</w:t>
      </w:r>
      <w:r w:rsidDel="00000000" w:rsidR="00000000" w:rsidRPr="00000000">
        <w:rPr>
          <w:rtl w:val="0"/>
        </w:rPr>
        <w:t xml:space="preserve">.</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Juicio Semántico (Revisor con Modelo):</w:t>
      </w:r>
      <w:r w:rsidDel="00000000" w:rsidR="00000000" w:rsidRPr="00000000">
        <w:rPr>
          <w:rtl w:val="0"/>
        </w:rPr>
        <w:t xml:space="preserve"> Se ejecuta únicamente sobre los ítems observados por la Primera Vista y una muestra estadística sobre los lotes aprobados ($3/n$).</w:t>
      </w:r>
    </w:p>
    <w:p w:rsidR="00000000" w:rsidDel="00000000" w:rsidP="00000000" w:rsidRDefault="00000000" w:rsidRPr="00000000" w14:paraId="00000039">
      <w:pPr>
        <w:pStyle w:val="Heading1"/>
        <w:rPr/>
      </w:pPr>
      <w:bookmarkStart w:colFirst="0" w:colLast="0" w:name="_e2psboczx8j2" w:id="10"/>
      <w:bookmarkEnd w:id="10"/>
      <w:r w:rsidDel="00000000" w:rsidR="00000000" w:rsidRPr="00000000">
        <w:rPr>
          <w:rtl w:val="0"/>
        </w:rPr>
        <w:t xml:space="preserve">6. Matriz de Diagnóstico de Fallas</w:t>
      </w:r>
    </w:p>
    <w:p w:rsidR="00000000" w:rsidDel="00000000" w:rsidP="00000000" w:rsidRDefault="00000000" w:rsidRPr="00000000" w14:paraId="0000003A">
      <w:pPr>
        <w:rPr/>
      </w:pPr>
      <w:r w:rsidDel="00000000" w:rsidR="00000000" w:rsidRPr="00000000">
        <w:rPr>
          <w:rtl w:val="0"/>
        </w:rPr>
        <w:t xml:space="preserve">Cuando un lote no supera la revisión, se aplica el siguiente protocolo de acción sin entrar en bucles infinitos: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3C">
            <w:pPr>
              <w:rPr/>
            </w:pPr>
            <w:r w:rsidDel="00000000" w:rsidR="00000000" w:rsidRPr="00000000">
              <w:rPr>
                <w:rtl w:val="0"/>
              </w:rPr>
              <w:t xml:space="preserve">Señal Detectada</w:t>
            </w:r>
          </w:p>
        </w:tc>
        <w:tc>
          <w:tcPr/>
          <w:p w:rsidR="00000000" w:rsidDel="00000000" w:rsidP="00000000" w:rsidRDefault="00000000" w:rsidRPr="00000000" w14:paraId="0000003D">
            <w:pPr>
              <w:rPr/>
            </w:pPr>
            <w:r w:rsidDel="00000000" w:rsidR="00000000" w:rsidRPr="00000000">
              <w:rPr>
                <w:rtl w:val="0"/>
              </w:rPr>
              <w:t xml:space="preserve">Causa Raíz Probable</w:t>
            </w:r>
          </w:p>
        </w:tc>
        <w:tc>
          <w:tcPr/>
          <w:p w:rsidR="00000000" w:rsidDel="00000000" w:rsidP="00000000" w:rsidRDefault="00000000" w:rsidRPr="00000000" w14:paraId="0000003E">
            <w:pPr>
              <w:rPr/>
            </w:pPr>
            <w:r w:rsidDel="00000000" w:rsidR="00000000" w:rsidRPr="00000000">
              <w:rPr>
                <w:rtl w:val="0"/>
              </w:rPr>
              <w:t xml:space="preserve">Acción Correctiva</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Varios lotes fallan con el mismo patrón.</w:t>
            </w:r>
          </w:p>
        </w:tc>
        <w:tc>
          <w:tcPr/>
          <w:p w:rsidR="00000000" w:rsidDel="00000000" w:rsidP="00000000" w:rsidRDefault="00000000" w:rsidRPr="00000000" w14:paraId="00000040">
            <w:pPr>
              <w:rPr/>
            </w:pPr>
            <w:r w:rsidDel="00000000" w:rsidR="00000000" w:rsidRPr="00000000">
              <w:rPr>
                <w:rtl w:val="0"/>
              </w:rPr>
              <w:t xml:space="preserve">Contrato ambiguo.</w:t>
            </w:r>
          </w:p>
        </w:tc>
        <w:tc>
          <w:tcPr/>
          <w:p w:rsidR="00000000" w:rsidDel="00000000" w:rsidP="00000000" w:rsidRDefault="00000000" w:rsidRPr="00000000" w14:paraId="00000041">
            <w:pPr>
              <w:rPr/>
            </w:pPr>
            <w:r w:rsidDel="00000000" w:rsidR="00000000" w:rsidRPr="00000000">
              <w:rPr>
                <w:rtl w:val="0"/>
              </w:rPr>
              <w:t xml:space="preserve">Corregir el texto del contrato y relanzar. No subir de modelo.</w:t>
            </w:r>
          </w:p>
        </w:tc>
      </w:tr>
      <w:tr>
        <w:trPr>
          <w:cantSplit w:val="0"/>
          <w:tblHeader w:val="0"/>
        </w:trPr>
        <w:tc>
          <w:tcPr/>
          <w:p w:rsidR="00000000" w:rsidDel="00000000" w:rsidP="00000000" w:rsidRDefault="00000000" w:rsidRPr="00000000" w14:paraId="00000042">
            <w:pPr>
              <w:rPr/>
            </w:pPr>
            <w:r w:rsidDel="00000000" w:rsidR="00000000" w:rsidRPr="00000000">
              <w:rPr>
                <w:rtl w:val="0"/>
              </w:rPr>
              <w:t xml:space="preserve">Salida truncada o degradación hacia el final.</w:t>
            </w:r>
          </w:p>
        </w:tc>
        <w:tc>
          <w:tcPr/>
          <w:p w:rsidR="00000000" w:rsidDel="00000000" w:rsidP="00000000" w:rsidRDefault="00000000" w:rsidRPr="00000000" w14:paraId="00000043">
            <w:pPr>
              <w:rPr/>
            </w:pPr>
            <w:r w:rsidDel="00000000" w:rsidR="00000000" w:rsidRPr="00000000">
              <w:rPr>
                <w:rtl w:val="0"/>
              </w:rPr>
              <w:t xml:space="preserve">Lote demasiado grande.</w:t>
            </w:r>
          </w:p>
        </w:tc>
        <w:tc>
          <w:tcPr/>
          <w:p w:rsidR="00000000" w:rsidDel="00000000" w:rsidP="00000000" w:rsidRDefault="00000000" w:rsidRPr="00000000" w14:paraId="00000044">
            <w:pPr>
              <w:rPr/>
            </w:pPr>
            <w:r w:rsidDel="00000000" w:rsidR="00000000" w:rsidRPr="00000000">
              <w:rPr>
                <w:rtl w:val="0"/>
              </w:rPr>
              <w:t xml:space="preserve">Desglosar el lote en unidades más pequeñas con el mismo nivel.</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Decisiones erróneas con contrato claro.</w:t>
            </w:r>
          </w:p>
        </w:tc>
        <w:tc>
          <w:tcPr/>
          <w:p w:rsidR="00000000" w:rsidDel="00000000" w:rsidP="00000000" w:rsidRDefault="00000000" w:rsidRPr="00000000" w14:paraId="00000046">
            <w:pPr>
              <w:rPr/>
            </w:pPr>
            <w:r w:rsidDel="00000000" w:rsidR="00000000" w:rsidRPr="00000000">
              <w:rPr>
                <w:rtl w:val="0"/>
              </w:rPr>
              <w:t xml:space="preserve">Nivel de modelo insuficiente.</w:t>
            </w:r>
          </w:p>
        </w:tc>
        <w:tc>
          <w:tcPr/>
          <w:p w:rsidR="00000000" w:rsidDel="00000000" w:rsidP="00000000" w:rsidRDefault="00000000" w:rsidRPr="00000000" w14:paraId="00000047">
            <w:pPr>
              <w:rPr/>
            </w:pPr>
            <w:r w:rsidDel="00000000" w:rsidR="00000000" w:rsidRPr="00000000">
              <w:rPr>
                <w:rtl w:val="0"/>
              </w:rPr>
              <w:t xml:space="preserve">Subir al siguiente nivel (ej. de Bulldozer a Operario).</w:t>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Falla en un lote aislado y el resto correcto.</w:t>
            </w:r>
          </w:p>
        </w:tc>
        <w:tc>
          <w:tcPr/>
          <w:p w:rsidR="00000000" w:rsidDel="00000000" w:rsidP="00000000" w:rsidRDefault="00000000" w:rsidRPr="00000000" w14:paraId="00000049">
            <w:pPr>
              <w:rPr/>
            </w:pPr>
            <w:r w:rsidDel="00000000" w:rsidR="00000000" w:rsidRPr="00000000">
              <w:rPr>
                <w:rtl w:val="0"/>
              </w:rPr>
              <w:t xml:space="preserve">Ruido estocástico puntual.</w:t>
            </w:r>
          </w:p>
        </w:tc>
        <w:tc>
          <w:tcPr/>
          <w:p w:rsidR="00000000" w:rsidDel="00000000" w:rsidP="00000000" w:rsidRDefault="00000000" w:rsidRPr="00000000" w14:paraId="0000004A">
            <w:pPr>
              <w:rPr/>
            </w:pPr>
            <w:r w:rsidDel="00000000" w:rsidR="00000000" w:rsidRPr="00000000">
              <w:rPr>
                <w:rtl w:val="0"/>
              </w:rPr>
              <w:t xml:space="preserve">Reintentar una única vez con la misma configuración.</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i w:val="1"/>
          <w:iCs w:val="1"/>
          <w:rtl w:val="0"/>
        </w:rPr>
        <w:t xml:space="preserve">Regla de cierre:</w:t>
      </w:r>
      <w:r w:rsidDel="00000000" w:rsidR="00000000" w:rsidRPr="00000000">
        <w:rPr>
          <w:rtl w:val="0"/>
        </w:rPr>
        <w:t xml:space="preserve"> Cada lote tiene como máximo </w:t>
      </w:r>
      <w:r w:rsidDel="00000000" w:rsidR="00000000" w:rsidRPr="00000000">
        <w:rPr>
          <w:b w:val="1"/>
          <w:bCs w:val="1"/>
          <w:rtl w:val="0"/>
        </w:rPr>
        <w:t xml:space="preserve">un reintento</w:t>
      </w:r>
      <w:r w:rsidDel="00000000" w:rsidR="00000000" w:rsidRPr="00000000">
        <w:rPr>
          <w:rtl w:val="0"/>
        </w:rPr>
        <w:t xml:space="preserve">. Si vuelve a fallar, el orquestador asume la resolución directa o marca el ítem como abierto en el reporte final.</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lang w:val="es"/>
      </w:rPr>
    </w:rPrDefault>
    <w:pPrDefault>
      <w:pPr>
        <w:spacing w:line="324.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0f172a"/>
      <w:sz w:val="26"/>
      <w:szCs w:val="26"/>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1e293b"/>
      <w:sz w:val="22"/>
      <w:szCs w:val="22"/>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334155"/>
      <w:sz w:val="20"/>
      <w:szCs w:val="20"/>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64" w:lineRule="auto"/>
    </w:pPr>
    <w:rPr>
      <w:rFonts w:ascii="Inter" w:cs="Inter" w:eastAsia="Inter" w:hAnsi="Inter"/>
      <w:b w:val="1"/>
      <w:bCs w:val="1"/>
      <w:i w:val="0"/>
      <w:iCs w:val="0"/>
      <w:color w:val="0f172a"/>
      <w:sz w:val="40"/>
      <w:szCs w:val="40"/>
    </w:rPr>
  </w:style>
  <w:style w:type="paragraph" w:styleId="Subtitle">
    <w:name w:val="Subtitle"/>
    <w:basedOn w:val="Normal"/>
    <w:next w:val="Normal"/>
    <w:pPr>
      <w:keepNext w:val="1"/>
      <w:keepLines w:val="1"/>
      <w:pageBreakBefore w:val="0"/>
      <w:spacing w:after="80" w:before="360" w:line="288" w:lineRule="auto"/>
    </w:pPr>
    <w:rPr>
      <w:rFonts w:ascii="Inter" w:cs="Inter" w:eastAsia="Inter" w:hAnsi="Inter"/>
      <w:b w:val="0"/>
      <w:bCs w:val="0"/>
      <w:i w:val="0"/>
      <w:iCs w:val="0"/>
      <w:color w:val="64748b"/>
      <w:sz w:val="20"/>
      <w:szCs w:val="20"/>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bottom"/>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475569"/>
        <w:sz w:val="18"/>
        <w:szCs w:val="18"/>
      </w:rPr>
      <w:tcPr>
        <w:shd w:fill="f8fafc"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